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5E7503D" w14:textId="0FA2BD0F" w:rsidR="00DA2438" w:rsidRDefault="00DA2438">
      <w:pPr>
        <w:tabs>
          <w:tab w:val="left" w:pos="3390"/>
          <w:tab w:val="center" w:pos="5032"/>
        </w:tabs>
        <w:jc w:val="center"/>
        <w:rPr>
          <w:rFonts w:ascii="Verdana" w:eastAsia="Arial" w:hAnsi="Verdana"/>
          <w:b/>
          <w:u w:val="single"/>
        </w:rPr>
      </w:pPr>
      <w:r>
        <w:rPr>
          <w:rFonts w:ascii="Verdana" w:eastAsia="Arial" w:hAnsi="Verdana"/>
          <w:b/>
          <w:u w:val="single"/>
        </w:rPr>
        <w:t>ANEXO I-1</w:t>
      </w:r>
    </w:p>
    <w:p w14:paraId="7EBE7E96" w14:textId="1626B480" w:rsidR="00756B45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>
        <w:rPr>
          <w:rFonts w:ascii="Verdana" w:eastAsia="Arial" w:hAnsi="Verdana"/>
          <w:b/>
          <w:u w:val="single"/>
        </w:rPr>
        <w:t>ESTUDO TÉCNICO PRELIMINAR -ETP</w:t>
      </w:r>
    </w:p>
    <w:p w14:paraId="6D0B408B" w14:textId="77777777" w:rsidR="00756B45" w:rsidRDefault="00756B45">
      <w:pPr>
        <w:tabs>
          <w:tab w:val="left" w:pos="3390"/>
          <w:tab w:val="center" w:pos="5032"/>
        </w:tabs>
        <w:jc w:val="both"/>
        <w:rPr>
          <w:rFonts w:ascii="Verdana" w:eastAsia="Arial" w:hAnsi="Verdana"/>
          <w:b/>
        </w:rPr>
      </w:pPr>
    </w:p>
    <w:p w14:paraId="63B7FEAB" w14:textId="77777777" w:rsidR="00756B45" w:rsidRDefault="00000000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>
        <w:rPr>
          <w:rFonts w:ascii="Verdana" w:eastAsia="Arial" w:hAnsi="Verdana"/>
          <w:b/>
          <w:bCs/>
        </w:rPr>
        <w:t>1. INFORMAÇÕES BÁSICAS</w:t>
      </w:r>
    </w:p>
    <w:p w14:paraId="24B1CECC" w14:textId="77777777" w:rsidR="00756B45" w:rsidRDefault="00756B45">
      <w:pPr>
        <w:tabs>
          <w:tab w:val="left" w:pos="3390"/>
          <w:tab w:val="center" w:pos="5032"/>
        </w:tabs>
        <w:jc w:val="both"/>
        <w:rPr>
          <w:rFonts w:ascii="Verdana" w:eastAsia="Arial" w:hAnsi="Verdana"/>
          <w:b/>
          <w:bCs/>
        </w:rPr>
      </w:pPr>
    </w:p>
    <w:p w14:paraId="5457386E" w14:textId="762CD9E2" w:rsidR="00756B45" w:rsidRPr="00DA2438" w:rsidRDefault="00000000">
      <w:pPr>
        <w:tabs>
          <w:tab w:val="left" w:pos="3390"/>
          <w:tab w:val="center" w:pos="5032"/>
        </w:tabs>
        <w:jc w:val="both"/>
        <w:rPr>
          <w:rFonts w:ascii="Verdana" w:eastAsia="Arial" w:hAnsi="Verdana"/>
          <w:b/>
          <w:bCs/>
        </w:rPr>
      </w:pPr>
      <w:r w:rsidRPr="00DA2438">
        <w:rPr>
          <w:rFonts w:ascii="Verdana" w:eastAsia="Arial" w:hAnsi="Verdana"/>
          <w:b/>
          <w:bCs/>
        </w:rPr>
        <w:t xml:space="preserve">1.1. Processo Administrativo nº </w:t>
      </w:r>
      <w:r w:rsidR="00DA2438" w:rsidRPr="00DA2438">
        <w:rPr>
          <w:rFonts w:ascii="Verdana" w:eastAsia="Arial" w:hAnsi="Verdana"/>
          <w:b/>
          <w:bCs/>
        </w:rPr>
        <w:t>001789</w:t>
      </w:r>
      <w:r w:rsidRPr="00DA2438">
        <w:rPr>
          <w:rFonts w:ascii="Verdana" w:eastAsia="Arial" w:hAnsi="Verdana"/>
          <w:b/>
          <w:bCs/>
        </w:rPr>
        <w:t>/2026</w:t>
      </w:r>
    </w:p>
    <w:p w14:paraId="3A4562B1" w14:textId="77777777" w:rsidR="00DA2438" w:rsidRDefault="00DA2438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</w:p>
    <w:p w14:paraId="311CC960" w14:textId="77777777" w:rsidR="00756B45" w:rsidRDefault="00000000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>
        <w:rPr>
          <w:rFonts w:ascii="Verdana" w:eastAsia="Arial" w:hAnsi="Verdana"/>
        </w:rPr>
        <w:t>Trata-se de contratação de empresa especializada na prestação de serviços contínuos de Manejo Integrado de Pragas (MIP,) compreendendo o controle de vetores e pragas urbanas, incluindo desinsetização, desratização e descupinização, com fornecimento de todos os insumos, equipamentos e mão de obra qualificada necessários à execução dos serviços.</w:t>
      </w:r>
    </w:p>
    <w:p w14:paraId="3866338E" w14:textId="77777777" w:rsidR="00756B45" w:rsidRDefault="00000000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>
        <w:rPr>
          <w:rFonts w:ascii="Verdana" w:eastAsia="Arial" w:hAnsi="Verdana"/>
        </w:rPr>
        <w:t xml:space="preserve">A solução contempla o fornecimento de inseticidas, raticidas, iscas em gel, equipamentos de proteção individual (EPIs) e equipamentos de proteção coletiva (EPCs), bem como maquinário adequado e equipe técnica devidamente </w:t>
      </w:r>
      <w:proofErr w:type="gramStart"/>
      <w:r>
        <w:rPr>
          <w:rFonts w:ascii="Verdana" w:eastAsia="Arial" w:hAnsi="Verdana"/>
        </w:rPr>
        <w:t>habilitada.</w:t>
      </w:r>
      <w:r>
        <w:rPr>
          <w:rFonts w:ascii="Verdana" w:eastAsia="Arial" w:hAnsi="Verdana"/>
          <w:vanish/>
        </w:rPr>
        <w:t>unidades</w:t>
      </w:r>
      <w:proofErr w:type="gramEnd"/>
      <w:r>
        <w:rPr>
          <w:rFonts w:ascii="Verdana" w:eastAsia="Arial" w:hAnsi="Verdana"/>
          <w:vanish/>
        </w:rPr>
        <w:t xml:space="preserve"> (16Pragas (MIP) nas 23s e cinquenta e oito centavosalizaç</w:t>
      </w:r>
    </w:p>
    <w:p w14:paraId="43D49398" w14:textId="77777777" w:rsidR="00756B45" w:rsidRDefault="00000000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>
        <w:rPr>
          <w:rFonts w:ascii="Verdana" w:eastAsia="Arial" w:hAnsi="Verdana"/>
        </w:rPr>
        <w:t xml:space="preserve">O atendimento abrangerá 23 (vinte e três) pontos estratégicos da Secretaria Municipal de Educação, sendo </w:t>
      </w:r>
      <w:r>
        <w:rPr>
          <w:rFonts w:ascii="Verdana" w:hAnsi="Verdana"/>
          <w:bCs/>
        </w:rPr>
        <w:t>16 pontos na zona urbana (sendo 15 escolas e 01 sede SEMED)</w:t>
      </w:r>
      <w:r>
        <w:rPr>
          <w:rFonts w:ascii="Verdana" w:hAnsi="Verdana"/>
        </w:rPr>
        <w:t>.</w:t>
      </w:r>
    </w:p>
    <w:p w14:paraId="4D2F1339" w14:textId="77777777" w:rsidR="00756B45" w:rsidRDefault="00756B45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</w:p>
    <w:p w14:paraId="220145DB" w14:textId="77777777" w:rsidR="00756B45" w:rsidRDefault="00000000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>
        <w:rPr>
          <w:rFonts w:ascii="Verdana" w:eastAsia="Arial" w:hAnsi="Verdana"/>
        </w:rPr>
        <w:t>Os serviços serão executados em 02 (dois) ciclos anuais (semestrais), contemplando áreas internas e externas das unidades, conforme cronograma previamente aprovado pela Administração.</w:t>
      </w:r>
    </w:p>
    <w:p w14:paraId="25E1955D" w14:textId="77777777" w:rsidR="00756B45" w:rsidRDefault="00000000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>
        <w:rPr>
          <w:rFonts w:ascii="Verdana" w:eastAsia="Arial" w:hAnsi="Verdana"/>
        </w:rPr>
        <w:t>Ao final de cada execução por unidade, será obrigatória a emissão de Certificado de Execução dos Serviços e Laudo Técnico, devidamente assinados por profissional responsável habilitado.</w:t>
      </w:r>
    </w:p>
    <w:p w14:paraId="5A2BCA1B" w14:textId="77777777" w:rsidR="00756B45" w:rsidRDefault="00000000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>
        <w:rPr>
          <w:rFonts w:ascii="Verdana" w:eastAsia="Arial" w:hAnsi="Verdana"/>
        </w:rPr>
        <w:t>O presente documento constitui o Estudo Técnico Preliminar (ETP), elaborado com a finalidade de:</w:t>
      </w:r>
    </w:p>
    <w:p w14:paraId="5CF545EC" w14:textId="77777777" w:rsidR="00756B45" w:rsidRDefault="00000000">
      <w:pPr>
        <w:numPr>
          <w:ilvl w:val="0"/>
          <w:numId w:val="1"/>
        </w:numPr>
        <w:tabs>
          <w:tab w:val="clear" w:pos="720"/>
          <w:tab w:val="left" w:pos="3390"/>
          <w:tab w:val="center" w:pos="5032"/>
        </w:tabs>
        <w:jc w:val="both"/>
        <w:rPr>
          <w:rFonts w:ascii="Verdana" w:hAnsi="Verdana"/>
        </w:rPr>
      </w:pPr>
      <w:r>
        <w:rPr>
          <w:rFonts w:ascii="Verdana" w:eastAsia="Arial" w:hAnsi="Verdana"/>
        </w:rPr>
        <w:t>demonstrar a viabilidade da contratação;</w:t>
      </w:r>
    </w:p>
    <w:p w14:paraId="48885FF3" w14:textId="77777777" w:rsidR="00756B45" w:rsidRDefault="00000000">
      <w:pPr>
        <w:numPr>
          <w:ilvl w:val="0"/>
          <w:numId w:val="1"/>
        </w:numPr>
        <w:tabs>
          <w:tab w:val="clear" w:pos="720"/>
          <w:tab w:val="left" w:pos="3390"/>
          <w:tab w:val="center" w:pos="5032"/>
        </w:tabs>
        <w:jc w:val="both"/>
        <w:rPr>
          <w:rFonts w:ascii="Verdana" w:hAnsi="Verdana"/>
        </w:rPr>
      </w:pPr>
      <w:r>
        <w:rPr>
          <w:rFonts w:ascii="Verdana" w:eastAsia="Arial" w:hAnsi="Verdana"/>
        </w:rPr>
        <w:t>identificar e mensurar riscos;</w:t>
      </w:r>
    </w:p>
    <w:p w14:paraId="32D5D8BA" w14:textId="77777777" w:rsidR="00756B45" w:rsidRDefault="00000000">
      <w:pPr>
        <w:numPr>
          <w:ilvl w:val="0"/>
          <w:numId w:val="1"/>
        </w:numPr>
        <w:tabs>
          <w:tab w:val="clear" w:pos="720"/>
          <w:tab w:val="left" w:pos="3390"/>
          <w:tab w:val="center" w:pos="5032"/>
        </w:tabs>
        <w:jc w:val="both"/>
        <w:rPr>
          <w:rFonts w:ascii="Verdana" w:hAnsi="Verdana"/>
        </w:rPr>
      </w:pPr>
      <w:r>
        <w:rPr>
          <w:rFonts w:ascii="Verdana" w:eastAsia="Arial" w:hAnsi="Verdana"/>
        </w:rPr>
        <w:t>definir a estratégia de contratação;</w:t>
      </w:r>
    </w:p>
    <w:p w14:paraId="50E81D2E" w14:textId="77777777" w:rsidR="00756B45" w:rsidRDefault="00000000">
      <w:pPr>
        <w:numPr>
          <w:ilvl w:val="0"/>
          <w:numId w:val="1"/>
        </w:numPr>
        <w:tabs>
          <w:tab w:val="clear" w:pos="720"/>
          <w:tab w:val="left" w:pos="3390"/>
          <w:tab w:val="center" w:pos="5032"/>
        </w:tabs>
        <w:jc w:val="both"/>
        <w:rPr>
          <w:rFonts w:ascii="Verdana" w:hAnsi="Verdana"/>
        </w:rPr>
      </w:pPr>
      <w:r>
        <w:rPr>
          <w:rFonts w:ascii="Verdana" w:eastAsia="Arial" w:hAnsi="Verdana"/>
        </w:rPr>
        <w:t>subsidiar a elaboração do Termo de Referência ou Projeto Básico;</w:t>
      </w:r>
    </w:p>
    <w:p w14:paraId="73B43DBB" w14:textId="77777777" w:rsidR="00756B45" w:rsidRDefault="00000000">
      <w:pPr>
        <w:numPr>
          <w:ilvl w:val="0"/>
          <w:numId w:val="1"/>
        </w:numPr>
        <w:tabs>
          <w:tab w:val="clear" w:pos="720"/>
          <w:tab w:val="left" w:pos="3390"/>
          <w:tab w:val="center" w:pos="5032"/>
        </w:tabs>
        <w:jc w:val="both"/>
        <w:rPr>
          <w:rFonts w:ascii="Verdana" w:hAnsi="Verdana"/>
        </w:rPr>
      </w:pPr>
      <w:r>
        <w:rPr>
          <w:rFonts w:ascii="Verdana" w:eastAsia="Arial" w:hAnsi="Verdana"/>
        </w:rPr>
        <w:t>estabelecer diretrizes para a adequada execução e sustentação da solução contratada.</w:t>
      </w:r>
    </w:p>
    <w:p w14:paraId="64B12ED6" w14:textId="77777777" w:rsidR="00756B45" w:rsidRDefault="00756B45">
      <w:pPr>
        <w:tabs>
          <w:tab w:val="left" w:pos="3390"/>
          <w:tab w:val="center" w:pos="5032"/>
        </w:tabs>
        <w:jc w:val="both"/>
        <w:rPr>
          <w:rFonts w:ascii="Verdana" w:eastAsia="Arial" w:hAnsi="Verdana"/>
        </w:rPr>
      </w:pPr>
    </w:p>
    <w:p w14:paraId="7C5EA3FA" w14:textId="77777777" w:rsidR="00756B45" w:rsidRDefault="00000000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>
        <w:rPr>
          <w:rFonts w:ascii="Verdana" w:hAnsi="Verdana"/>
          <w:b/>
        </w:rPr>
        <w:t>2. LOCAL DE ENTREGA</w:t>
      </w:r>
    </w:p>
    <w:p w14:paraId="55C59EA9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2.1.</w:t>
      </w:r>
      <w:r>
        <w:rPr>
          <w:rFonts w:ascii="Verdana" w:hAnsi="Verdana"/>
        </w:rPr>
        <w:t xml:space="preserve"> A prestação dos serviços deverá ser realizada rigorosamente nos endereços listados no </w:t>
      </w:r>
      <w:r>
        <w:rPr>
          <w:rFonts w:ascii="Verdana" w:hAnsi="Verdana"/>
          <w:b/>
          <w:bCs/>
        </w:rPr>
        <w:t>Anexo I</w:t>
      </w:r>
      <w:r>
        <w:rPr>
          <w:rFonts w:ascii="Verdana" w:hAnsi="Verdana"/>
        </w:rPr>
        <w:t xml:space="preserve"> deste Estudo Técnico Preliminar, abrangendo todas as unidades escolares e administrativas da Rede Municipal de Ensino.</w:t>
      </w:r>
    </w:p>
    <w:p w14:paraId="1964A884" w14:textId="77777777" w:rsidR="00756B45" w:rsidRDefault="00756B45">
      <w:pPr>
        <w:jc w:val="both"/>
        <w:rPr>
          <w:rFonts w:ascii="Verdana" w:hAnsi="Verdana"/>
          <w:b/>
        </w:rPr>
      </w:pPr>
    </w:p>
    <w:p w14:paraId="45A191BD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</w:rPr>
        <w:t>3. CONTATO</w:t>
      </w:r>
    </w:p>
    <w:p w14:paraId="6260EBEE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Tel: </w:t>
      </w:r>
      <w:r>
        <w:rPr>
          <w:rFonts w:ascii="Verdana" w:hAnsi="Verdana"/>
        </w:rPr>
        <w:t>27 3727-3993</w:t>
      </w:r>
    </w:p>
    <w:p w14:paraId="3B47F55C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Email: </w:t>
      </w:r>
      <w:r>
        <w:rPr>
          <w:rFonts w:ascii="Verdana" w:hAnsi="Verdana"/>
        </w:rPr>
        <w:t>semecsgp@gmail.com</w:t>
      </w:r>
    </w:p>
    <w:p w14:paraId="529C937A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Responsável: </w:t>
      </w:r>
      <w:r>
        <w:rPr>
          <w:rFonts w:ascii="Verdana" w:hAnsi="Verdana"/>
        </w:rPr>
        <w:t>Secretaria Municipal de Educação</w:t>
      </w:r>
    </w:p>
    <w:p w14:paraId="5BD28CFB" w14:textId="77777777" w:rsidR="00756B45" w:rsidRDefault="00756B45">
      <w:pPr>
        <w:jc w:val="both"/>
        <w:rPr>
          <w:rFonts w:ascii="Verdana" w:hAnsi="Verdana"/>
          <w:b/>
        </w:rPr>
      </w:pPr>
    </w:p>
    <w:p w14:paraId="377754F9" w14:textId="77777777" w:rsidR="00756B45" w:rsidRDefault="00000000">
      <w:pPr>
        <w:shd w:val="clear" w:color="auto" w:fill="FFFFFF"/>
        <w:jc w:val="both"/>
        <w:textAlignment w:val="baseline"/>
        <w:rPr>
          <w:rFonts w:ascii="Verdana" w:hAnsi="Verdana"/>
        </w:rPr>
      </w:pPr>
      <w:r>
        <w:rPr>
          <w:rFonts w:ascii="Verdana" w:hAnsi="Verdana"/>
          <w:b/>
          <w:bCs/>
          <w:color w:val="000000"/>
          <w:lang w:eastAsia="pt-BR"/>
        </w:rPr>
        <w:t>4. PREVISÃO NO PLANO DE CONTRATAÇÕES ANUAL</w:t>
      </w:r>
    </w:p>
    <w:p w14:paraId="78039B7C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color w:val="000000"/>
        </w:rPr>
        <w:t>4.1. A contratação pretendida encontra-se em consonância com o planejamento estratégico da Secretaria Municipal de Educação, estando prevista na programação orçamentária e financeira do exercício correspondente.</w:t>
      </w:r>
    </w:p>
    <w:p w14:paraId="3D70EBBE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color w:val="000000"/>
        </w:rPr>
        <w:t>4.2. Foi elaborado o Documento de Formalização de Demanda (DFD) nº 06, que contempla a necessidade de contratação dos serviços de manejo integrado de pragas, o qual foi devidamente incluído no Plano de Contratações Anual (PCA) de 2026, registrado no exercício de 2025.</w:t>
      </w:r>
    </w:p>
    <w:p w14:paraId="3010B011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color w:val="000000"/>
        </w:rPr>
        <w:t>4.3. O contrato decorrente desta contratação poderá ser prorrogado nos termos da Lei nº 14.133/2021, desde que demonstrada a vantajosidade para a Administração, mediante prévia pesquisa de mercado e justificativa formal.</w:t>
      </w:r>
    </w:p>
    <w:p w14:paraId="0B3F4010" w14:textId="77777777" w:rsidR="00756B45" w:rsidRDefault="00756B45">
      <w:pPr>
        <w:jc w:val="both"/>
        <w:rPr>
          <w:rFonts w:ascii="Verdana" w:hAnsi="Verdana"/>
          <w:b/>
        </w:rPr>
      </w:pPr>
    </w:p>
    <w:p w14:paraId="14896F05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</w:rPr>
        <w:t>5. DESCRIÇÃO DA NECESSIDADE</w:t>
      </w:r>
    </w:p>
    <w:p w14:paraId="7774D80C" w14:textId="77777777" w:rsidR="00756B45" w:rsidRDefault="00000000">
      <w:pPr>
        <w:contextualSpacing/>
        <w:jc w:val="both"/>
        <w:rPr>
          <w:rFonts w:ascii="Verdana" w:hAnsi="Verdana"/>
        </w:rPr>
      </w:pPr>
      <w:r>
        <w:rPr>
          <w:rFonts w:ascii="Verdana" w:eastAsia="Arial" w:hAnsi="Verdana"/>
          <w:b/>
          <w:bCs/>
        </w:rPr>
        <w:t>5.1. Justificativa</w:t>
      </w:r>
    </w:p>
    <w:p w14:paraId="58913E44" w14:textId="77777777" w:rsidR="00756B45" w:rsidRDefault="00000000">
      <w:pPr>
        <w:contextualSpacing/>
        <w:jc w:val="both"/>
        <w:rPr>
          <w:rFonts w:ascii="Verdana" w:hAnsi="Verdana"/>
        </w:rPr>
      </w:pPr>
      <w:r>
        <w:rPr>
          <w:rFonts w:ascii="Verdana" w:eastAsia="Arial" w:hAnsi="Verdana"/>
        </w:rPr>
        <w:lastRenderedPageBreak/>
        <w:t>Justifica-se a contratação de empresa especializada para a prestação de serviços contínuos de Manejo Integrado de Pragas (MIP) nas Unidades Escolares da Rede Municipal de Ensino e na Sede da Secretaria Municipal de Educação, com a finalidade de assegurar condições adequadas de higiene, saúde e segurança nos ambientes escolares.</w:t>
      </w:r>
    </w:p>
    <w:p w14:paraId="570EA4EC" w14:textId="77777777" w:rsidR="00756B45" w:rsidRDefault="00000000">
      <w:pPr>
        <w:contextualSpacing/>
        <w:jc w:val="both"/>
        <w:rPr>
          <w:rFonts w:ascii="Verdana" w:hAnsi="Verdana"/>
        </w:rPr>
      </w:pPr>
      <w:r>
        <w:rPr>
          <w:rFonts w:ascii="Verdana" w:eastAsia="Arial" w:hAnsi="Verdana"/>
        </w:rPr>
        <w:t>A presença de vetores e pragas urbanas representa risco sanitário relevante, podendo comprometer a integridade física dos alunos, servidores e demais usuários das instalações, além de impactar negativamente o ambiente pedagógico. A execução periódica dos serviços de desinsetização, desratização e descupinização é medida preventiva indispensável para evitar a proliferação de insetos, roedores e outros agentes nocivos à saúde pública.</w:t>
      </w:r>
    </w:p>
    <w:p w14:paraId="67D9D2FD" w14:textId="77777777" w:rsidR="00756B45" w:rsidRDefault="00000000">
      <w:pPr>
        <w:contextualSpacing/>
        <w:jc w:val="both"/>
        <w:rPr>
          <w:rFonts w:ascii="Verdana" w:hAnsi="Verdana"/>
        </w:rPr>
      </w:pPr>
      <w:r>
        <w:rPr>
          <w:rFonts w:ascii="Verdana" w:eastAsia="Arial" w:hAnsi="Verdana"/>
        </w:rPr>
        <w:t>A contratação proposta visa, portanto, garantir a manutenção das condições sanitárias adequadas, em conformidade com as normas de vigilância sanitária e com os princípios da eficiência, da prevenção e da proteção ao interesse público.</w:t>
      </w:r>
    </w:p>
    <w:p w14:paraId="2A802B46" w14:textId="77777777" w:rsidR="00756B45" w:rsidRDefault="00756B45">
      <w:pPr>
        <w:contextualSpacing/>
        <w:jc w:val="both"/>
        <w:rPr>
          <w:rFonts w:ascii="Verdana" w:eastAsia="Arial" w:hAnsi="Verdana"/>
        </w:rPr>
      </w:pPr>
    </w:p>
    <w:p w14:paraId="1208DD78" w14:textId="77777777" w:rsidR="00756B45" w:rsidRDefault="00000000">
      <w:pPr>
        <w:contextualSpacing/>
        <w:jc w:val="both"/>
        <w:rPr>
          <w:rFonts w:ascii="Verdana" w:hAnsi="Verdana"/>
        </w:rPr>
      </w:pPr>
      <w:r>
        <w:rPr>
          <w:rFonts w:ascii="Verdana" w:eastAsia="Arial" w:hAnsi="Verdana"/>
          <w:b/>
          <w:bCs/>
        </w:rPr>
        <w:t>5.2. Da Capacidade Técnica da Administração</w:t>
      </w:r>
    </w:p>
    <w:p w14:paraId="7925118B" w14:textId="77777777" w:rsidR="00756B45" w:rsidRDefault="00000000">
      <w:pPr>
        <w:contextualSpacing/>
        <w:jc w:val="both"/>
        <w:rPr>
          <w:rFonts w:ascii="Verdana" w:hAnsi="Verdana"/>
        </w:rPr>
      </w:pPr>
      <w:r>
        <w:rPr>
          <w:rFonts w:ascii="Verdana" w:eastAsia="Arial" w:hAnsi="Verdana"/>
        </w:rPr>
        <w:t>Ressalta-se que esta Secretaria Municipal de Educação não dispõe, em seu quadro funcional, de profissionais habilitados, equipamentos específicos ou insumos necessários à execução dos serviços de manejo integrado de pragas.</w:t>
      </w:r>
    </w:p>
    <w:p w14:paraId="1E1EF03E" w14:textId="77777777" w:rsidR="00756B45" w:rsidRDefault="00000000">
      <w:pPr>
        <w:contextualSpacing/>
        <w:jc w:val="both"/>
        <w:rPr>
          <w:rFonts w:ascii="Verdana" w:hAnsi="Verdana"/>
        </w:rPr>
      </w:pPr>
      <w:r>
        <w:rPr>
          <w:rFonts w:ascii="Verdana" w:eastAsia="Arial" w:hAnsi="Verdana"/>
        </w:rPr>
        <w:t xml:space="preserve">Assim, os requisitos técnicos e tecnológicos da contratação serão </w:t>
      </w:r>
      <w:r>
        <w:rPr>
          <w:rFonts w:ascii="Verdana" w:hAnsi="Verdana"/>
        </w:rPr>
        <w:t xml:space="preserve">definidos com o apoio de profissional habilitado (Engenheiro Agrônomo, Biólogo ou Químico) pertencente aos quadros da </w:t>
      </w:r>
      <w:r>
        <w:rPr>
          <w:rFonts w:ascii="Verdana" w:hAnsi="Verdana"/>
          <w:b/>
          <w:bCs/>
        </w:rPr>
        <w:t>Secretaria Municipal de Saúde (Vigilância Sanitária)</w:t>
      </w:r>
      <w:r>
        <w:rPr>
          <w:rFonts w:ascii="Verdana" w:hAnsi="Verdana"/>
        </w:rPr>
        <w:t xml:space="preserve"> ou </w:t>
      </w:r>
      <w:r>
        <w:rPr>
          <w:rFonts w:ascii="Verdana" w:hAnsi="Verdana"/>
          <w:b/>
          <w:bCs/>
        </w:rPr>
        <w:t>Secretaria de Obras/Serviços Urbanos</w:t>
      </w:r>
      <w:r>
        <w:rPr>
          <w:rFonts w:ascii="Verdana" w:hAnsi="Verdana"/>
        </w:rPr>
        <w:t>, cujo parecer técnico</w:t>
      </w:r>
      <w:r>
        <w:rPr>
          <w:rFonts w:ascii="Verdana" w:eastAsia="Arial" w:hAnsi="Verdana"/>
        </w:rPr>
        <w:t xml:space="preserve"> será devidamente anexado ao processo administrativo, a fim de assegurar a adequada especificação da solução e o atendimento às normas técnicas e sanitárias vigentes.</w:t>
      </w:r>
    </w:p>
    <w:p w14:paraId="23F33FFC" w14:textId="77777777" w:rsidR="00756B45" w:rsidRDefault="00756B45">
      <w:pPr>
        <w:contextualSpacing/>
        <w:jc w:val="both"/>
        <w:rPr>
          <w:rFonts w:ascii="Verdana" w:eastAsia="Arial" w:hAnsi="Verdana"/>
        </w:rPr>
      </w:pPr>
    </w:p>
    <w:p w14:paraId="45EA68A2" w14:textId="77777777" w:rsidR="00756B45" w:rsidRDefault="00000000">
      <w:pPr>
        <w:contextualSpacing/>
        <w:jc w:val="both"/>
        <w:rPr>
          <w:rFonts w:ascii="Verdana" w:hAnsi="Verdana"/>
        </w:rPr>
      </w:pPr>
      <w:r>
        <w:rPr>
          <w:rFonts w:ascii="Verdana" w:eastAsia="Arial" w:hAnsi="Verdana"/>
          <w:b/>
          <w:bCs/>
        </w:rPr>
        <w:t xml:space="preserve">5.3. Fundamentação da Modalidade Contratual </w:t>
      </w:r>
    </w:p>
    <w:p w14:paraId="4CBCF0A2" w14:textId="77777777" w:rsidR="00756B45" w:rsidRDefault="00000000">
      <w:pPr>
        <w:contextualSpacing/>
        <w:jc w:val="both"/>
        <w:rPr>
          <w:rFonts w:ascii="Verdana" w:hAnsi="Verdana"/>
        </w:rPr>
      </w:pPr>
      <w:r>
        <w:rPr>
          <w:rFonts w:ascii="Verdana" w:eastAsia="Arial" w:hAnsi="Verdana"/>
        </w:rPr>
        <w:t>A contratação será realizada mediante Processo Licitatório na modalidade Pregão Eletrônico, com critério de julgamento pelo Menor Preço Global, em conformidade com o Art. 18 e Art. 28, inciso I, da Lei Federal nº 14.133/2021. Tal escolha justifica-se por se tratar de serviço comum, cujos padrões de desempenho e qualidade podem ser objetivamente definidos pelo edital, por meio de especificações usuais de mercado.</w:t>
      </w:r>
    </w:p>
    <w:p w14:paraId="07685245" w14:textId="77777777" w:rsidR="00756B45" w:rsidRDefault="00000000">
      <w:pPr>
        <w:pStyle w:val="PargrafodaLista"/>
        <w:tabs>
          <w:tab w:val="left" w:pos="2010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ab/>
      </w:r>
    </w:p>
    <w:p w14:paraId="4828C542" w14:textId="77777777" w:rsidR="00756B45" w:rsidRDefault="00000000">
      <w:pPr>
        <w:spacing w:after="160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5.4. REQUISITOS TÉCNICOS </w:t>
      </w:r>
    </w:p>
    <w:p w14:paraId="5F24448D" w14:textId="77777777" w:rsidR="00756B45" w:rsidRDefault="00000000">
      <w:pPr>
        <w:spacing w:after="160"/>
        <w:jc w:val="both"/>
        <w:rPr>
          <w:rFonts w:ascii="Verdana" w:hAnsi="Verdana"/>
        </w:rPr>
      </w:pPr>
      <w:r>
        <w:rPr>
          <w:rFonts w:ascii="Verdana" w:hAnsi="Verdana"/>
        </w:rPr>
        <w:t>O presente Estudo Técnico Preliminar é elaborado em conformidade com a Lei Federal nº 14.133, de 1º de abril de 2021, que dispõe sobre as normas gerais de licitações e contratos administrativos, observando-se os princípios do planejamento, da eficiência e do desenvolvimento nacional sustentável.</w:t>
      </w:r>
    </w:p>
    <w:p w14:paraId="0D66AB52" w14:textId="77777777" w:rsidR="00756B45" w:rsidRDefault="00000000">
      <w:pPr>
        <w:spacing w:after="160"/>
        <w:jc w:val="both"/>
        <w:rPr>
          <w:rFonts w:ascii="Verdana" w:hAnsi="Verdana"/>
        </w:rPr>
      </w:pPr>
      <w:r>
        <w:rPr>
          <w:rFonts w:ascii="Verdana" w:hAnsi="Verdana"/>
        </w:rPr>
        <w:t xml:space="preserve">Atende-se, ainda, ao disposto no </w:t>
      </w:r>
      <w:r>
        <w:rPr>
          <w:rFonts w:ascii="Verdana" w:hAnsi="Verdana"/>
          <w:b/>
          <w:bCs/>
        </w:rPr>
        <w:t>art. 4º da Lei Municipal nº 1.989, de 11 de novembro de 2009</w:t>
      </w:r>
      <w:r>
        <w:rPr>
          <w:rFonts w:ascii="Verdana" w:hAnsi="Verdana"/>
        </w:rPr>
        <w:t>, do Município de São Gabriel da Palha/ES, o qual estabelece diretrizes para a realização das contratações públicas no âmbito municipal, especialmente no que se refere à exigência de planejamento prévio, à adequada motivação da contratação, à observância da economicidade e à preservação do interesse público, fundamentos que orientam a elaboração do presente ETP.</w:t>
      </w:r>
    </w:p>
    <w:p w14:paraId="36C710F4" w14:textId="77777777" w:rsidR="00756B45" w:rsidRDefault="00000000">
      <w:pPr>
        <w:spacing w:after="160"/>
        <w:rPr>
          <w:rFonts w:ascii="Verdana" w:hAnsi="Verdana"/>
        </w:rPr>
      </w:pPr>
      <w:r>
        <w:rPr>
          <w:rFonts w:ascii="Verdana" w:hAnsi="Verdana"/>
        </w:rPr>
        <w:t>Para garantir a execução adequada do objeto, a contratada deverá comprovar:</w:t>
      </w:r>
    </w:p>
    <w:p w14:paraId="0DE221E8" w14:textId="77777777" w:rsidR="00756B45" w:rsidRDefault="00000000">
      <w:pPr>
        <w:suppressAutoHyphens w:val="0"/>
        <w:spacing w:after="160"/>
        <w:rPr>
          <w:rFonts w:ascii="Verdana" w:hAnsi="Verdana"/>
        </w:rPr>
      </w:pPr>
      <w:r>
        <w:rPr>
          <w:rFonts w:ascii="Verdana" w:hAnsi="Verdana"/>
        </w:rPr>
        <w:t>5.4.1. Capacidade Técnica Operacional</w:t>
      </w:r>
    </w:p>
    <w:p w14:paraId="373B7CC6" w14:textId="77777777" w:rsidR="00756B45" w:rsidRDefault="00000000">
      <w:pPr>
        <w:suppressAutoHyphens w:val="0"/>
        <w:spacing w:after="160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Nos termos dos arts. 62 a 70 da Lei nº 14.133/2021, especialmente quanto à habilitação técnica, a </w:t>
      </w:r>
      <w:r>
        <w:rPr>
          <w:rFonts w:ascii="Verdana" w:hAnsi="Verdana"/>
        </w:rPr>
        <w:t>empresa deverá comprovar aptidão para o desempenho de atividade pertinente e compatível em características, quantidades e prazos com o objeto da contratação, mediante:</w:t>
      </w:r>
    </w:p>
    <w:p w14:paraId="002E9A51" w14:textId="77777777" w:rsidR="00756B45" w:rsidRDefault="00000000">
      <w:pPr>
        <w:numPr>
          <w:ilvl w:val="0"/>
          <w:numId w:val="5"/>
        </w:numPr>
        <w:suppressAutoHyphens w:val="0"/>
        <w:ind w:left="714" w:hanging="357"/>
        <w:jc w:val="both"/>
        <w:rPr>
          <w:rFonts w:ascii="Verdana" w:hAnsi="Verdana"/>
        </w:rPr>
      </w:pPr>
      <w:r>
        <w:rPr>
          <w:rFonts w:ascii="Verdana" w:hAnsi="Verdana"/>
        </w:rPr>
        <w:t>Apresentação de atestado(s) de capacidade técnica, emitido(s) por pessoa(s) jurídica(s) de direito público ou privado, que comprove(m) a execução satisfatória de serviços de natureza e complexidade semelhantes aos descritos neste Estudo Técnico Preliminar;</w:t>
      </w:r>
    </w:p>
    <w:p w14:paraId="16E2B57F" w14:textId="77777777" w:rsidR="00756B45" w:rsidRDefault="00000000">
      <w:pPr>
        <w:numPr>
          <w:ilvl w:val="0"/>
          <w:numId w:val="5"/>
        </w:numPr>
        <w:suppressAutoHyphens w:val="0"/>
        <w:ind w:left="714" w:hanging="357"/>
        <w:jc w:val="both"/>
        <w:rPr>
          <w:rFonts w:ascii="Verdana" w:hAnsi="Verdana"/>
        </w:rPr>
      </w:pPr>
      <w:r>
        <w:rPr>
          <w:rFonts w:ascii="Verdana" w:hAnsi="Verdana"/>
        </w:rPr>
        <w:t>Comprovação de que já executou serviços de manejo integrado de pragas, controle de vetores ou atividades equivalentes, compatíveis com o porte e a abrangência da presente contratação;</w:t>
      </w:r>
    </w:p>
    <w:p w14:paraId="12599917" w14:textId="77777777" w:rsidR="00756B45" w:rsidRDefault="00000000">
      <w:pPr>
        <w:numPr>
          <w:ilvl w:val="0"/>
          <w:numId w:val="5"/>
        </w:numPr>
        <w:suppressAutoHyphens w:val="0"/>
        <w:ind w:left="714" w:hanging="357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Declaração ou documentação que evidencie possuir estrutura operacional adequada para atendimento simultâneo ou escalonado das unidades previstas, observando os prazos estabelecidos pela Administração;</w:t>
      </w:r>
    </w:p>
    <w:p w14:paraId="1252C1EF" w14:textId="77777777" w:rsidR="00756B45" w:rsidRDefault="00000000">
      <w:pPr>
        <w:numPr>
          <w:ilvl w:val="0"/>
          <w:numId w:val="5"/>
        </w:numPr>
        <w:suppressAutoHyphens w:val="0"/>
        <w:jc w:val="both"/>
        <w:rPr>
          <w:rFonts w:ascii="Verdana" w:hAnsi="Verdana"/>
        </w:rPr>
      </w:pPr>
      <w:r>
        <w:rPr>
          <w:rFonts w:ascii="Verdana" w:hAnsi="Verdana"/>
        </w:rPr>
        <w:t>Comprovação de regularidade da empresa junto aos órgãos de vigilância sanitária competentes, mediante apresentação de licença ou alvará sanitário válido.</w:t>
      </w:r>
    </w:p>
    <w:p w14:paraId="0BE6AACD" w14:textId="77777777" w:rsidR="00756B45" w:rsidRDefault="00000000">
      <w:pPr>
        <w:suppressAutoHyphens w:val="0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5.4.2. Capacidade Técnica Profissional </w:t>
      </w:r>
    </w:p>
    <w:p w14:paraId="2B333041" w14:textId="77777777" w:rsidR="00756B45" w:rsidRDefault="00000000">
      <w:pPr>
        <w:numPr>
          <w:ilvl w:val="0"/>
          <w:numId w:val="2"/>
        </w:numPr>
        <w:suppressAutoHyphens w:val="0"/>
        <w:jc w:val="both"/>
        <w:rPr>
          <w:rFonts w:ascii="Verdana" w:hAnsi="Verdana"/>
        </w:rPr>
      </w:pPr>
      <w:r>
        <w:rPr>
          <w:rFonts w:ascii="Verdana" w:hAnsi="Verdana"/>
        </w:rPr>
        <w:t xml:space="preserve">Comprovação de que a empresa possui </w:t>
      </w:r>
      <w:r>
        <w:rPr>
          <w:rFonts w:ascii="Verdana" w:hAnsi="Verdana"/>
          <w:b/>
          <w:bCs/>
        </w:rPr>
        <w:t>responsável técnico devidamente habilitado</w:t>
      </w:r>
      <w:r>
        <w:rPr>
          <w:rFonts w:ascii="Verdana" w:hAnsi="Verdana"/>
        </w:rPr>
        <w:t>, com registro no conselho profissional competente (CREA, CRQ ou outro aplicável à atividade), quando exigido pela legislação específica;</w:t>
      </w:r>
    </w:p>
    <w:p w14:paraId="65CEF8F8" w14:textId="77777777" w:rsidR="00756B45" w:rsidRDefault="00000000">
      <w:pPr>
        <w:numPr>
          <w:ilvl w:val="0"/>
          <w:numId w:val="2"/>
        </w:numPr>
        <w:suppressAutoHyphens w:val="0"/>
        <w:jc w:val="both"/>
        <w:rPr>
          <w:rFonts w:ascii="Verdana" w:hAnsi="Verdana"/>
        </w:rPr>
      </w:pPr>
      <w:r>
        <w:rPr>
          <w:rFonts w:ascii="Verdana" w:hAnsi="Verdana"/>
        </w:rPr>
        <w:t xml:space="preserve">Comprovação de que os profissionais envolvidos na execução dos serviços possuem </w:t>
      </w:r>
      <w:r>
        <w:rPr>
          <w:rFonts w:ascii="Verdana" w:hAnsi="Verdana"/>
          <w:b/>
          <w:bCs/>
        </w:rPr>
        <w:t>capacitação para aplicação de produtos saneantes desinfestantes</w:t>
      </w:r>
      <w:r>
        <w:rPr>
          <w:rFonts w:ascii="Verdana" w:hAnsi="Verdana"/>
        </w:rPr>
        <w:t>, conforme normas da Vigilância Sanitária;</w:t>
      </w:r>
    </w:p>
    <w:p w14:paraId="50323FD3" w14:textId="77777777" w:rsidR="00756B45" w:rsidRDefault="00000000">
      <w:pPr>
        <w:numPr>
          <w:ilvl w:val="0"/>
          <w:numId w:val="2"/>
        </w:numPr>
        <w:suppressAutoHyphens w:val="0"/>
        <w:jc w:val="both"/>
        <w:rPr>
          <w:rFonts w:ascii="Verdana" w:hAnsi="Verdana"/>
        </w:rPr>
      </w:pPr>
      <w:r>
        <w:rPr>
          <w:rFonts w:ascii="Verdana" w:hAnsi="Verdana"/>
        </w:rPr>
        <w:t>Apresentação de comprovação de treinamentos em segurança do trabalho, manuseio e aplicação de produtos químicos, uso de EPIs e cumprimento das normas de biossegurança.</w:t>
      </w:r>
    </w:p>
    <w:p w14:paraId="32C7538D" w14:textId="77777777" w:rsidR="00756B45" w:rsidRDefault="00756B45">
      <w:pPr>
        <w:spacing w:after="160"/>
        <w:jc w:val="both"/>
        <w:rPr>
          <w:rFonts w:ascii="Verdana" w:hAnsi="Verdana"/>
          <w:b/>
          <w:bCs/>
        </w:rPr>
      </w:pPr>
    </w:p>
    <w:p w14:paraId="23DD1028" w14:textId="77777777" w:rsidR="00756B45" w:rsidRDefault="00000000">
      <w:pPr>
        <w:spacing w:after="160"/>
        <w:jc w:val="both"/>
        <w:rPr>
          <w:rFonts w:ascii="Verdana" w:hAnsi="Verdana"/>
        </w:rPr>
      </w:pPr>
      <w:r>
        <w:rPr>
          <w:rFonts w:ascii="Verdana" w:hAnsi="Verdana"/>
          <w:b/>
          <w:bCs/>
          <w:highlight w:val="yellow"/>
        </w:rPr>
        <w:t>5.4.2.1. Da Justificativa das Exigências de Capacidade Técnica Para fins de atendimento ao despacho da Procuradoria-Geral do Município (Processo nº 1789/2026), justifica-se a manutenção da exigência de capacidade técnica operacional e profissional (conforme itens 5.4.1 e 5.4.2 deste ETP) pelos seguintes fundamentos:</w:t>
      </w:r>
    </w:p>
    <w:p w14:paraId="72C19064" w14:textId="77777777" w:rsidR="00756B45" w:rsidRDefault="00000000">
      <w:pPr>
        <w:numPr>
          <w:ilvl w:val="0"/>
          <w:numId w:val="25"/>
        </w:numPr>
        <w:suppressAutoHyphens w:val="0"/>
        <w:spacing w:after="160"/>
        <w:jc w:val="both"/>
        <w:rPr>
          <w:rFonts w:ascii="Verdana" w:hAnsi="Verdana"/>
        </w:rPr>
      </w:pPr>
      <w:r>
        <w:rPr>
          <w:rFonts w:ascii="Verdana" w:hAnsi="Verdana"/>
          <w:b/>
          <w:bCs/>
          <w:highlight w:val="yellow"/>
        </w:rPr>
        <w:t>Risco à Saúde Coletiva:</w:t>
      </w:r>
      <w:r>
        <w:rPr>
          <w:rFonts w:ascii="Verdana" w:hAnsi="Verdana"/>
          <w:highlight w:val="yellow"/>
        </w:rPr>
        <w:t xml:space="preserve"> A prestação de serviços de Manejo Integrado de Pragas (MIP) envolve o manuseio, transporte e aplicação de substâncias químicas (saneantes domissanitários) em ambientes de uso sensível e contínuo por crianças, alunos e servidores. A ausência de qualificação técnica da contratada elevaria o risco de contaminação ambiental e acidentes com agentes químicos.</w:t>
      </w:r>
    </w:p>
    <w:p w14:paraId="06CD3F92" w14:textId="77777777" w:rsidR="00756B45" w:rsidRDefault="00000000">
      <w:pPr>
        <w:numPr>
          <w:ilvl w:val="0"/>
          <w:numId w:val="25"/>
        </w:numPr>
        <w:suppressAutoHyphens w:val="0"/>
        <w:spacing w:after="160"/>
        <w:jc w:val="both"/>
        <w:rPr>
          <w:rFonts w:ascii="Verdana" w:hAnsi="Verdana"/>
        </w:rPr>
      </w:pPr>
      <w:r>
        <w:rPr>
          <w:rFonts w:ascii="Verdana" w:hAnsi="Verdana"/>
          <w:b/>
          <w:bCs/>
          <w:highlight w:val="yellow"/>
        </w:rPr>
        <w:t>Proteção ao Interesse Público:</w:t>
      </w:r>
      <w:r>
        <w:rPr>
          <w:rFonts w:ascii="Verdana" w:hAnsi="Verdana"/>
          <w:highlight w:val="yellow"/>
        </w:rPr>
        <w:t xml:space="preserve"> A exigência de atestados de capacidade técnica e registro profissional no conselho competente (CREA/CRQ) não configura restrição à competitividade, mas sim um critério de qualificação indispensável para assegurar que a empresa contratada possua expertise mínima para lidar com a complexidade do ambiente escolar, evitando a inexecução ou má prestação do serviço.</w:t>
      </w:r>
    </w:p>
    <w:p w14:paraId="0B0C859B" w14:textId="77777777" w:rsidR="00756B45" w:rsidRDefault="00000000">
      <w:pPr>
        <w:numPr>
          <w:ilvl w:val="0"/>
          <w:numId w:val="25"/>
        </w:numPr>
        <w:suppressAutoHyphens w:val="0"/>
        <w:jc w:val="both"/>
        <w:rPr>
          <w:rFonts w:ascii="Verdana" w:hAnsi="Verdana"/>
        </w:rPr>
      </w:pPr>
      <w:r>
        <w:rPr>
          <w:rFonts w:ascii="Verdana" w:hAnsi="Verdana"/>
          <w:b/>
          <w:bCs/>
          <w:highlight w:val="yellow"/>
        </w:rPr>
        <w:t>Harmonia com a Lei nº 14.133/2021:</w:t>
      </w:r>
      <w:r>
        <w:rPr>
          <w:rFonts w:ascii="Verdana" w:hAnsi="Verdana"/>
          <w:highlight w:val="yellow"/>
        </w:rPr>
        <w:t xml:space="preserve"> As exigências estão alinhadas ao princípio do planejamento e da eficiência, garantindo que a Administração Pública contrate empresa apta a executar o objeto sem colocar em risco a salubridade das 23 unidades de ensino, cumprindo o seu dever de zelar pela integridade física dos usuários do sistema educacional.</w:t>
      </w:r>
    </w:p>
    <w:p w14:paraId="7A6E3C4F" w14:textId="77777777" w:rsidR="00756B45" w:rsidRDefault="00756B45">
      <w:pPr>
        <w:suppressAutoHyphens w:val="0"/>
        <w:ind w:left="720"/>
        <w:rPr>
          <w:rFonts w:ascii="Verdana" w:hAnsi="Verdana"/>
        </w:rPr>
      </w:pPr>
    </w:p>
    <w:p w14:paraId="720C9AF5" w14:textId="77777777" w:rsidR="00756B45" w:rsidRDefault="00000000">
      <w:pPr>
        <w:suppressAutoHyphens w:val="0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5.4.3. Fornecimento de Insumos e Equipamentos </w:t>
      </w:r>
    </w:p>
    <w:p w14:paraId="68A1975F" w14:textId="77777777" w:rsidR="00756B45" w:rsidRDefault="00000000">
      <w:pPr>
        <w:numPr>
          <w:ilvl w:val="0"/>
          <w:numId w:val="3"/>
        </w:numPr>
        <w:suppressAutoHyphens w:val="0"/>
        <w:jc w:val="both"/>
        <w:rPr>
          <w:rFonts w:ascii="Verdana" w:hAnsi="Verdana"/>
        </w:rPr>
      </w:pPr>
      <w:r>
        <w:rPr>
          <w:rFonts w:ascii="Verdana" w:hAnsi="Verdana"/>
        </w:rPr>
        <w:t>Comprovação de que a empresa dispõe de insumos regularizados junto aos órgãos competentes, tais como inseticidas, raticidas, iscas em gel e demais produtos necessários à execução dos serviços, observadas as normas da Anvisa e da Vigilância Sanitária;</w:t>
      </w:r>
    </w:p>
    <w:p w14:paraId="1A3906C8" w14:textId="77777777" w:rsidR="00756B45" w:rsidRDefault="00000000">
      <w:pPr>
        <w:numPr>
          <w:ilvl w:val="0"/>
          <w:numId w:val="3"/>
        </w:numPr>
        <w:suppressAutoHyphens w:val="0"/>
        <w:jc w:val="both"/>
        <w:rPr>
          <w:rFonts w:ascii="Verdana" w:hAnsi="Verdana"/>
        </w:rPr>
      </w:pPr>
      <w:r>
        <w:rPr>
          <w:rFonts w:ascii="Verdana" w:hAnsi="Verdana"/>
        </w:rPr>
        <w:t>Comprovação de disponibilidade de equipamentos adequados à execução dos serviços, incluindo pulverizadores, atomizadores, equipamentos de aplicação específicos e demais instrumentos técnicos necessários;</w:t>
      </w:r>
    </w:p>
    <w:p w14:paraId="18C5F662" w14:textId="77777777" w:rsidR="00756B45" w:rsidRDefault="00000000">
      <w:pPr>
        <w:numPr>
          <w:ilvl w:val="0"/>
          <w:numId w:val="3"/>
        </w:numPr>
        <w:suppressAutoHyphens w:val="0"/>
        <w:jc w:val="both"/>
        <w:rPr>
          <w:rFonts w:ascii="Verdana" w:hAnsi="Verdana"/>
        </w:rPr>
      </w:pPr>
      <w:r>
        <w:rPr>
          <w:rFonts w:ascii="Verdana" w:hAnsi="Verdana"/>
        </w:rPr>
        <w:t>Comprovação de fornecimento e utilização de Equipamentos de Proteção Individual (EPIs) e Equipamentos de Proteção Coletiva (EPCs), em conformidade com as normas de segurança do trabalho.</w:t>
      </w:r>
    </w:p>
    <w:p w14:paraId="7D89CB44" w14:textId="77777777" w:rsidR="00756B45" w:rsidRDefault="00000000">
      <w:pPr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5.4.4. Atestados e Certificados de Execução </w:t>
      </w:r>
    </w:p>
    <w:p w14:paraId="2A47DC5A" w14:textId="77777777" w:rsidR="00756B45" w:rsidRDefault="00000000">
      <w:pPr>
        <w:numPr>
          <w:ilvl w:val="0"/>
          <w:numId w:val="4"/>
        </w:numPr>
        <w:rPr>
          <w:rFonts w:ascii="Verdana" w:hAnsi="Verdana"/>
        </w:rPr>
      </w:pPr>
      <w:r>
        <w:rPr>
          <w:rFonts w:ascii="Verdana" w:hAnsi="Verdana"/>
        </w:rPr>
        <w:t>Obrigatoriedade de emissão de Certificado de Execução dos Serviços e Laudo Técnico por unidade atendida, devidamente assinados pelo responsável técnico;</w:t>
      </w:r>
    </w:p>
    <w:p w14:paraId="21DD2ADC" w14:textId="77777777" w:rsidR="00756B45" w:rsidRDefault="00000000">
      <w:pPr>
        <w:numPr>
          <w:ilvl w:val="0"/>
          <w:numId w:val="4"/>
        </w:numPr>
        <w:rPr>
          <w:rFonts w:ascii="Verdana" w:hAnsi="Verdana"/>
        </w:rPr>
      </w:pPr>
      <w:r>
        <w:rPr>
          <w:rFonts w:ascii="Verdana" w:hAnsi="Verdana"/>
        </w:rPr>
        <w:t>Apresentação de relatório técnico contendo, no mínimo:</w:t>
      </w:r>
    </w:p>
    <w:p w14:paraId="3CC1FC4F" w14:textId="77777777" w:rsidR="00756B45" w:rsidRDefault="00000000">
      <w:pPr>
        <w:numPr>
          <w:ilvl w:val="1"/>
          <w:numId w:val="4"/>
        </w:numPr>
        <w:rPr>
          <w:rFonts w:ascii="Verdana" w:hAnsi="Verdana"/>
        </w:rPr>
      </w:pPr>
      <w:r>
        <w:rPr>
          <w:rFonts w:ascii="Verdana" w:hAnsi="Verdana"/>
        </w:rPr>
        <w:t>identificação da unidade atendida;</w:t>
      </w:r>
    </w:p>
    <w:p w14:paraId="78F939FD" w14:textId="77777777" w:rsidR="00756B45" w:rsidRDefault="00000000">
      <w:pPr>
        <w:numPr>
          <w:ilvl w:val="1"/>
          <w:numId w:val="4"/>
        </w:numPr>
        <w:rPr>
          <w:rFonts w:ascii="Verdana" w:hAnsi="Verdana"/>
        </w:rPr>
      </w:pPr>
      <w:r>
        <w:rPr>
          <w:rFonts w:ascii="Verdana" w:hAnsi="Verdana"/>
        </w:rPr>
        <w:t>data da execução;</w:t>
      </w:r>
    </w:p>
    <w:p w14:paraId="0C329035" w14:textId="77777777" w:rsidR="00756B45" w:rsidRDefault="00000000">
      <w:pPr>
        <w:numPr>
          <w:ilvl w:val="1"/>
          <w:numId w:val="4"/>
        </w:numPr>
        <w:rPr>
          <w:rFonts w:ascii="Verdana" w:hAnsi="Verdana"/>
        </w:rPr>
      </w:pPr>
      <w:r>
        <w:rPr>
          <w:rFonts w:ascii="Verdana" w:hAnsi="Verdana"/>
        </w:rPr>
        <w:lastRenderedPageBreak/>
        <w:t>produtos utilizados (com princípio ativo e registro no órgão competente);</w:t>
      </w:r>
    </w:p>
    <w:p w14:paraId="0AD2E6F2" w14:textId="77777777" w:rsidR="00756B45" w:rsidRDefault="00000000">
      <w:pPr>
        <w:numPr>
          <w:ilvl w:val="1"/>
          <w:numId w:val="4"/>
        </w:numPr>
        <w:rPr>
          <w:rFonts w:ascii="Verdana" w:hAnsi="Verdana"/>
        </w:rPr>
      </w:pPr>
      <w:r>
        <w:rPr>
          <w:rFonts w:ascii="Verdana" w:hAnsi="Verdana"/>
        </w:rPr>
        <w:t>metodologia aplicada;</w:t>
      </w:r>
    </w:p>
    <w:p w14:paraId="57F29366" w14:textId="77777777" w:rsidR="00756B45" w:rsidRDefault="00000000">
      <w:pPr>
        <w:numPr>
          <w:ilvl w:val="1"/>
          <w:numId w:val="4"/>
        </w:numPr>
        <w:rPr>
          <w:rFonts w:ascii="Verdana" w:hAnsi="Verdana"/>
        </w:rPr>
      </w:pPr>
      <w:r>
        <w:rPr>
          <w:rFonts w:ascii="Verdana" w:hAnsi="Verdana"/>
        </w:rPr>
        <w:t>orientações preventivas, quando cabíveis.</w:t>
      </w:r>
    </w:p>
    <w:p w14:paraId="100DA6D2" w14:textId="77777777" w:rsidR="00756B45" w:rsidRDefault="00756B45">
      <w:pPr>
        <w:ind w:left="1440"/>
        <w:rPr>
          <w:rFonts w:ascii="Verdana" w:hAnsi="Verdana"/>
        </w:rPr>
      </w:pPr>
    </w:p>
    <w:p w14:paraId="76C575F1" w14:textId="77777777" w:rsidR="00756B45" w:rsidRDefault="00000000">
      <w:pPr>
        <w:rPr>
          <w:rFonts w:ascii="Verdana" w:hAnsi="Verdana"/>
        </w:rPr>
      </w:pPr>
      <w:r>
        <w:rPr>
          <w:rFonts w:ascii="Verdana" w:hAnsi="Verdana"/>
          <w:b/>
          <w:bCs/>
        </w:rPr>
        <w:t>5.4.5. Cobertura e Periodicidade</w:t>
      </w:r>
    </w:p>
    <w:p w14:paraId="104A8C79" w14:textId="77777777" w:rsidR="00756B45" w:rsidRDefault="00000000">
      <w:pPr>
        <w:rPr>
          <w:rFonts w:ascii="Verdana" w:hAnsi="Verdana"/>
        </w:rPr>
      </w:pPr>
      <w:r>
        <w:rPr>
          <w:rFonts w:ascii="Verdana" w:hAnsi="Verdana"/>
        </w:rPr>
        <w:t>Os serviços deverão abranger 23 (vinte e três) pontos vinculados à Secretaria Municipal de Educação, compreendendo:</w:t>
      </w:r>
    </w:p>
    <w:p w14:paraId="16FBC36B" w14:textId="77777777" w:rsidR="00756B45" w:rsidRDefault="00000000">
      <w:pPr>
        <w:numPr>
          <w:ilvl w:val="0"/>
          <w:numId w:val="6"/>
        </w:numPr>
        <w:rPr>
          <w:rFonts w:ascii="Verdana" w:hAnsi="Verdana"/>
        </w:rPr>
      </w:pPr>
      <w:r>
        <w:rPr>
          <w:rFonts w:ascii="Verdana" w:hAnsi="Verdana"/>
        </w:rPr>
        <w:t>15 (quinze) Unidades Escolares Urbanas;</w:t>
      </w:r>
    </w:p>
    <w:p w14:paraId="5384A1F5" w14:textId="77777777" w:rsidR="00756B45" w:rsidRDefault="00000000">
      <w:pPr>
        <w:numPr>
          <w:ilvl w:val="0"/>
          <w:numId w:val="6"/>
        </w:numPr>
        <w:rPr>
          <w:rFonts w:ascii="Verdana" w:hAnsi="Verdana"/>
        </w:rPr>
      </w:pPr>
      <w:r>
        <w:rPr>
          <w:rFonts w:ascii="Verdana" w:hAnsi="Verdana"/>
        </w:rPr>
        <w:t>07 (sete) Unidades Escolares Rurais;</w:t>
      </w:r>
    </w:p>
    <w:p w14:paraId="224615CA" w14:textId="77777777" w:rsidR="00756B45" w:rsidRDefault="00000000">
      <w:pPr>
        <w:numPr>
          <w:ilvl w:val="0"/>
          <w:numId w:val="6"/>
        </w:numPr>
        <w:rPr>
          <w:rFonts w:ascii="Verdana" w:hAnsi="Verdana"/>
        </w:rPr>
      </w:pPr>
      <w:r>
        <w:rPr>
          <w:rFonts w:ascii="Verdana" w:hAnsi="Verdana"/>
        </w:rPr>
        <w:t>01 (uma) Sede Administrativa.</w:t>
      </w:r>
    </w:p>
    <w:p w14:paraId="75BE9B6E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</w:rPr>
        <w:t>A execução ocorrerá em 02 (dois) ciclos anuais (semestrais), contemplando áreas internas e externas das unidades, conforme cronograma previamente aprovado pela Administração.</w:t>
      </w:r>
    </w:p>
    <w:p w14:paraId="2C5DBBE1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</w:rPr>
        <w:t>A contratada deverá garantir a cobertura integral das unidades indicadas, observando os prazos estabelecidos, bem como a adequada logística para atendimento dentro do período programado.</w:t>
      </w:r>
    </w:p>
    <w:p w14:paraId="22FD7664" w14:textId="77777777" w:rsidR="00756B45" w:rsidRDefault="00756B45">
      <w:pPr>
        <w:rPr>
          <w:rFonts w:ascii="Verdana" w:hAnsi="Verdana"/>
        </w:rPr>
      </w:pPr>
    </w:p>
    <w:p w14:paraId="70B39106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5.5. Habilitação e Regularidade Fiscal </w:t>
      </w:r>
    </w:p>
    <w:p w14:paraId="33CF83F3" w14:textId="77777777" w:rsidR="00756B45" w:rsidRDefault="00756B45">
      <w:pPr>
        <w:jc w:val="both"/>
        <w:rPr>
          <w:rFonts w:ascii="Verdana" w:hAnsi="Verdana"/>
          <w:b/>
          <w:bCs/>
        </w:rPr>
      </w:pPr>
    </w:p>
    <w:p w14:paraId="3B05C2FD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A empresa a ser contratada deverá comprovar </w:t>
      </w:r>
      <w:r>
        <w:rPr>
          <w:rFonts w:ascii="Verdana" w:hAnsi="Verdana"/>
          <w:b/>
          <w:bCs/>
        </w:rPr>
        <w:t>habilitação jurídica, regularidade fiscal e trabalhista, qualificação técnica e qualificação econômico-financeira</w:t>
      </w:r>
      <w:r>
        <w:rPr>
          <w:rFonts w:ascii="Verdana" w:hAnsi="Verdana"/>
        </w:rPr>
        <w:t>, nos termos dos arts. 62 a 70 da Lei nº 14.133/2021, observadas as exigências compatíveis com a natureza da contratação.</w:t>
      </w:r>
    </w:p>
    <w:p w14:paraId="67164936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</w:rPr>
        <w:t>Deverá ser comprovada, no que couber:</w:t>
      </w:r>
    </w:p>
    <w:p w14:paraId="5D038CA2" w14:textId="77777777" w:rsidR="00756B45" w:rsidRDefault="00000000">
      <w:pPr>
        <w:numPr>
          <w:ilvl w:val="0"/>
          <w:numId w:val="7"/>
        </w:numPr>
        <w:jc w:val="both"/>
        <w:rPr>
          <w:rFonts w:ascii="Verdana" w:hAnsi="Verdana"/>
        </w:rPr>
      </w:pPr>
      <w:r>
        <w:rPr>
          <w:rFonts w:ascii="Verdana" w:hAnsi="Verdana"/>
        </w:rPr>
        <w:t>regularidade perante a Fazenda Federal, Estadual e Municipal;</w:t>
      </w:r>
    </w:p>
    <w:p w14:paraId="6C3711E5" w14:textId="77777777" w:rsidR="00756B45" w:rsidRDefault="00000000">
      <w:pPr>
        <w:numPr>
          <w:ilvl w:val="0"/>
          <w:numId w:val="7"/>
        </w:numPr>
        <w:jc w:val="both"/>
        <w:rPr>
          <w:rFonts w:ascii="Verdana" w:hAnsi="Verdana"/>
        </w:rPr>
      </w:pPr>
      <w:r>
        <w:rPr>
          <w:rFonts w:ascii="Verdana" w:hAnsi="Verdana"/>
        </w:rPr>
        <w:t>regularidade relativa ao FGTS;</w:t>
      </w:r>
    </w:p>
    <w:p w14:paraId="17B65F60" w14:textId="77777777" w:rsidR="00756B45" w:rsidRDefault="00000000">
      <w:pPr>
        <w:numPr>
          <w:ilvl w:val="0"/>
          <w:numId w:val="7"/>
        </w:numPr>
        <w:jc w:val="both"/>
        <w:rPr>
          <w:rFonts w:ascii="Verdana" w:hAnsi="Verdana"/>
        </w:rPr>
      </w:pPr>
      <w:r>
        <w:rPr>
          <w:rFonts w:ascii="Verdana" w:hAnsi="Verdana"/>
        </w:rPr>
        <w:t>inexistência de débitos trabalhistas (CNDT);</w:t>
      </w:r>
    </w:p>
    <w:p w14:paraId="4A75AFFB" w14:textId="77777777" w:rsidR="00756B45" w:rsidRDefault="00000000">
      <w:pPr>
        <w:numPr>
          <w:ilvl w:val="0"/>
          <w:numId w:val="7"/>
        </w:numPr>
        <w:jc w:val="both"/>
        <w:rPr>
          <w:rFonts w:ascii="Verdana" w:hAnsi="Verdana"/>
        </w:rPr>
      </w:pPr>
      <w:r>
        <w:rPr>
          <w:rFonts w:ascii="Verdana" w:hAnsi="Verdana"/>
        </w:rPr>
        <w:t>qualificação técnica conforme requisitos estabelecidos neste Estudo Técnico Preliminar;</w:t>
      </w:r>
    </w:p>
    <w:p w14:paraId="1FECFC50" w14:textId="77777777" w:rsidR="00756B45" w:rsidRDefault="00000000">
      <w:pPr>
        <w:numPr>
          <w:ilvl w:val="0"/>
          <w:numId w:val="7"/>
        </w:numPr>
        <w:jc w:val="both"/>
        <w:rPr>
          <w:rFonts w:ascii="Verdana" w:hAnsi="Verdana"/>
        </w:rPr>
      </w:pPr>
      <w:r>
        <w:rPr>
          <w:rFonts w:ascii="Verdana" w:hAnsi="Verdana"/>
        </w:rPr>
        <w:t>qualificação econômico-financeira compatível com a execução do objeto.</w:t>
      </w:r>
    </w:p>
    <w:p w14:paraId="61985184" w14:textId="77777777" w:rsidR="00756B45" w:rsidRDefault="00756B45">
      <w:pPr>
        <w:jc w:val="both"/>
        <w:rPr>
          <w:rFonts w:ascii="Verdana" w:hAnsi="Verdana"/>
        </w:rPr>
      </w:pPr>
    </w:p>
    <w:p w14:paraId="2B7C2798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A execução do Manejo Integrado de Pragas (MIP) deverá ser realizada por </w:t>
      </w:r>
      <w:r>
        <w:rPr>
          <w:rFonts w:ascii="Verdana" w:hAnsi="Verdana"/>
          <w:b/>
          <w:bCs/>
        </w:rPr>
        <w:t>empresa especializada</w:t>
      </w:r>
      <w:r>
        <w:rPr>
          <w:rFonts w:ascii="Verdana" w:hAnsi="Verdana"/>
        </w:rPr>
        <w:t>, com fornecimento integral de insumos (inseticidas, raticidas, iscas em gel e similares), equipamentos de proteção individual (EPIs), equipamentos de proteção coletiva (EPCs), maquinário adequado e mão de obra qualificada, responsabilizando-se integralmente pela correta aplicação dos produtos e pelo cumprimento das normas sanitárias e de segurança do trabalho vigentes.</w:t>
      </w:r>
    </w:p>
    <w:p w14:paraId="5507C89C" w14:textId="77777777" w:rsidR="00756B45" w:rsidRDefault="00756B45">
      <w:pPr>
        <w:jc w:val="both"/>
        <w:rPr>
          <w:rFonts w:ascii="Verdana" w:hAnsi="Verdana"/>
        </w:rPr>
      </w:pPr>
    </w:p>
    <w:p w14:paraId="26A7F312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5.6. Sustentabilidade e Gestão de Resíduos Perigosos</w:t>
      </w:r>
    </w:p>
    <w:p w14:paraId="1424D0AF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Em observância à </w:t>
      </w:r>
      <w:r>
        <w:rPr>
          <w:rFonts w:ascii="Verdana" w:hAnsi="Verdana"/>
          <w:b/>
          <w:bCs/>
        </w:rPr>
        <w:t>Lei Federal nº 12.305/2010 (Política Nacional de Resíduos Sólidos)</w:t>
      </w:r>
      <w:r>
        <w:rPr>
          <w:rFonts w:ascii="Verdana" w:hAnsi="Verdana"/>
        </w:rPr>
        <w:t xml:space="preserve"> e às normas da </w:t>
      </w:r>
      <w:r>
        <w:rPr>
          <w:rFonts w:ascii="Verdana" w:hAnsi="Verdana"/>
          <w:b/>
          <w:bCs/>
        </w:rPr>
        <w:t>RDC nº 222/2018 da ANVISA</w:t>
      </w:r>
      <w:r>
        <w:rPr>
          <w:rFonts w:ascii="Verdana" w:hAnsi="Verdana"/>
        </w:rPr>
        <w:t>, a contratada deverá seguir as seguintes diretrizes para o descarte:</w:t>
      </w:r>
    </w:p>
    <w:p w14:paraId="63668690" w14:textId="77777777" w:rsidR="00756B45" w:rsidRDefault="00000000">
      <w:pPr>
        <w:numPr>
          <w:ilvl w:val="0"/>
          <w:numId w:val="12"/>
        </w:num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Logística Reversa:</w:t>
      </w:r>
      <w:r>
        <w:rPr>
          <w:rFonts w:ascii="Verdana" w:hAnsi="Verdana"/>
        </w:rPr>
        <w:t xml:space="preserve"> A empresa é integralmente responsável pela coleta, transporte e destinação final das embalagens vazias e sobras de produtos químicos, devendo retirá-los das unidades escolares imediatamente após a conclusão de cada intervenção.</w:t>
      </w:r>
    </w:p>
    <w:p w14:paraId="6F453CF8" w14:textId="77777777" w:rsidR="00756B45" w:rsidRDefault="00000000">
      <w:pPr>
        <w:numPr>
          <w:ilvl w:val="0"/>
          <w:numId w:val="12"/>
        </w:num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Proibição de Descarte Local:</w:t>
      </w:r>
      <w:r>
        <w:rPr>
          <w:rFonts w:ascii="Verdana" w:hAnsi="Verdana"/>
        </w:rPr>
        <w:t xml:space="preserve"> É expressamente proibido o descarte de embalagens, equipamentos de aplicação descartáveis ou resíduos químicos em lixeiras comuns, pias, ralos ou redes de esgoto das unidades atendidas.</w:t>
      </w:r>
    </w:p>
    <w:p w14:paraId="4E40DD32" w14:textId="77777777" w:rsidR="00756B45" w:rsidRDefault="00000000">
      <w:pPr>
        <w:numPr>
          <w:ilvl w:val="0"/>
          <w:numId w:val="12"/>
        </w:num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Tríplice Lavagem:</w:t>
      </w:r>
      <w:r>
        <w:rPr>
          <w:rFonts w:ascii="Verdana" w:hAnsi="Verdana"/>
        </w:rPr>
        <w:t xml:space="preserve"> Quando aplicável, a contratada deverá realizar a tríplice lavagem das embalagens rígidas conforme as normas técnicas, garantindo que o efluente dessa lavagem seja aproveitado na própria calda de aplicação, evitando desperdício e contaminação.</w:t>
      </w:r>
    </w:p>
    <w:p w14:paraId="29729E9B" w14:textId="77777777" w:rsidR="00756B45" w:rsidRDefault="00000000">
      <w:pPr>
        <w:numPr>
          <w:ilvl w:val="0"/>
          <w:numId w:val="12"/>
        </w:num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Comprovação Ambiental:</w:t>
      </w:r>
      <w:r>
        <w:rPr>
          <w:rFonts w:ascii="Verdana" w:hAnsi="Verdana"/>
        </w:rPr>
        <w:t xml:space="preserve"> A Administração poderá solicitar, a qualquer tempo, o </w:t>
      </w:r>
      <w:r>
        <w:rPr>
          <w:rFonts w:ascii="Verdana" w:hAnsi="Verdana"/>
          <w:b/>
          <w:bCs/>
        </w:rPr>
        <w:t>Certificado de Destinação Final (CDF)</w:t>
      </w:r>
      <w:r>
        <w:rPr>
          <w:rFonts w:ascii="Verdana" w:hAnsi="Verdana"/>
        </w:rPr>
        <w:t xml:space="preserve"> ou comprovante de entrega em postos de recebimento licenciados, como condição para atestar a regularidade técnica da empresa.</w:t>
      </w:r>
    </w:p>
    <w:p w14:paraId="2D3B792D" w14:textId="77777777" w:rsidR="00756B45" w:rsidRDefault="00756B45">
      <w:pPr>
        <w:jc w:val="both"/>
        <w:rPr>
          <w:rFonts w:ascii="Verdana" w:hAnsi="Verdana"/>
        </w:rPr>
      </w:pPr>
    </w:p>
    <w:p w14:paraId="5DA47728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iCs/>
        </w:rPr>
        <w:t>6. ÁREA REQUISITANTE</w:t>
      </w:r>
    </w:p>
    <w:p w14:paraId="097C2223" w14:textId="77777777" w:rsidR="00756B45" w:rsidRDefault="00000000">
      <w:pPr>
        <w:pStyle w:val="NormalWeb"/>
        <w:spacing w:beforeAutospacing="0" w:afterAutospacing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6.1.</w:t>
      </w:r>
      <w:r>
        <w:rPr>
          <w:rFonts w:ascii="Verdana" w:hAnsi="Verdana"/>
          <w:sz w:val="20"/>
          <w:szCs w:val="20"/>
        </w:rPr>
        <w:t xml:space="preserve"> Secretaria Municipal de Educação (Fiscalização e acompanhamento).</w:t>
      </w:r>
    </w:p>
    <w:p w14:paraId="7A363BB4" w14:textId="77777777" w:rsidR="00756B45" w:rsidRDefault="00756B45">
      <w:pPr>
        <w:jc w:val="both"/>
        <w:rPr>
          <w:rFonts w:ascii="Verdana" w:eastAsia="Arial" w:hAnsi="Verdana"/>
          <w:b/>
        </w:rPr>
      </w:pPr>
    </w:p>
    <w:p w14:paraId="0D9D61ED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/>
          <w:b/>
        </w:rPr>
        <w:t>7. DESCRIÇÃO DOS REQUISITOS DA CONTRATAÇÃO</w:t>
      </w:r>
    </w:p>
    <w:p w14:paraId="69C28C8C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/>
        </w:rPr>
        <w:t>7.1. A Secretaria Municipal de Educação, dentre suas atribuições, é responsável por garantir o pleno funcionamento e a adequada manutenção das unidades escolares. A necessidade de contratação de serviços de dedetização, desratização, desinsetização e atividades correlatas justifica-se pela imprescindibilidade de manter condições adequadas de higiene e segurança nos ambientes escolares, atendendo, ainda, às exigências da vigilância sanitária e demais normas aplicáveis.</w:t>
      </w:r>
    </w:p>
    <w:p w14:paraId="6796D3B0" w14:textId="77777777" w:rsidR="00756B45" w:rsidRDefault="00756B45">
      <w:pPr>
        <w:jc w:val="both"/>
        <w:rPr>
          <w:rFonts w:ascii="Verdana" w:eastAsia="Arial" w:hAnsi="Verdana"/>
        </w:rPr>
      </w:pPr>
    </w:p>
    <w:p w14:paraId="2043F84E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/>
        </w:rPr>
        <w:t>7.2. A ausência da execução regular dos serviços de manejo de pragas urbanas pode resultar em:</w:t>
      </w:r>
    </w:p>
    <w:p w14:paraId="6A999B5B" w14:textId="77777777" w:rsidR="00756B45" w:rsidRDefault="00000000">
      <w:pPr>
        <w:numPr>
          <w:ilvl w:val="0"/>
          <w:numId w:val="8"/>
        </w:numPr>
        <w:jc w:val="both"/>
        <w:rPr>
          <w:rFonts w:ascii="Verdana" w:hAnsi="Verdana"/>
        </w:rPr>
      </w:pPr>
      <w:r>
        <w:rPr>
          <w:rFonts w:ascii="Verdana" w:eastAsia="Arial" w:hAnsi="Verdana"/>
        </w:rPr>
        <w:t>proliferação acelerada de insetos, roedores e outros vetores;</w:t>
      </w:r>
    </w:p>
    <w:p w14:paraId="21E9D5CA" w14:textId="77777777" w:rsidR="00756B45" w:rsidRDefault="00000000">
      <w:pPr>
        <w:numPr>
          <w:ilvl w:val="0"/>
          <w:numId w:val="8"/>
        </w:numPr>
        <w:jc w:val="both"/>
        <w:rPr>
          <w:rFonts w:ascii="Verdana" w:hAnsi="Verdana"/>
        </w:rPr>
      </w:pPr>
      <w:r>
        <w:rPr>
          <w:rFonts w:ascii="Verdana" w:eastAsia="Arial" w:hAnsi="Verdana"/>
        </w:rPr>
        <w:t>riscos à saúde de alunos, servidores e comunidade escolar;</w:t>
      </w:r>
    </w:p>
    <w:p w14:paraId="22BB7728" w14:textId="77777777" w:rsidR="00756B45" w:rsidRDefault="00000000">
      <w:pPr>
        <w:numPr>
          <w:ilvl w:val="0"/>
          <w:numId w:val="8"/>
        </w:numPr>
        <w:jc w:val="both"/>
        <w:rPr>
          <w:rFonts w:ascii="Verdana" w:hAnsi="Verdana"/>
        </w:rPr>
      </w:pPr>
      <w:r>
        <w:rPr>
          <w:rFonts w:ascii="Verdana" w:eastAsia="Arial" w:hAnsi="Verdana"/>
        </w:rPr>
        <w:t>danos estruturais e materiais nas unidades escolares;</w:t>
      </w:r>
    </w:p>
    <w:p w14:paraId="0CD70C08" w14:textId="77777777" w:rsidR="00756B45" w:rsidRDefault="00000000">
      <w:pPr>
        <w:numPr>
          <w:ilvl w:val="0"/>
          <w:numId w:val="8"/>
        </w:numPr>
        <w:jc w:val="both"/>
        <w:rPr>
          <w:rFonts w:ascii="Verdana" w:hAnsi="Verdana"/>
        </w:rPr>
      </w:pPr>
      <w:r>
        <w:rPr>
          <w:rFonts w:ascii="Verdana" w:eastAsia="Arial" w:hAnsi="Verdana"/>
        </w:rPr>
        <w:t>prejuízos econômicos e comprometimento da segurança alimentar na rede municipal de ensino.</w:t>
      </w:r>
    </w:p>
    <w:p w14:paraId="30F541DC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/>
        </w:rPr>
        <w:t>Diante disso, torna-se essencial a implementação de medidas preventivas contínuas e planejadas, de forma a minimizar riscos e assegurar ambientes escolares seguros e higienizados.</w:t>
      </w:r>
    </w:p>
    <w:p w14:paraId="4BEC5C2E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/>
        </w:rPr>
        <w:t>7.3. A necessidade de contratação é reforçada pela identificação de focos de pragas urbanas nas instalações da rede municipal de ensino, tanto na zona urbana quanto na zona rural.</w:t>
      </w:r>
    </w:p>
    <w:p w14:paraId="45992096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/>
        </w:rPr>
        <w:t>7.4. Considera-se ainda o constante aumento das demandas por serviços de dedetização, desratização e desinsetização, evidenciando a relevância e a urgência da contratação.</w:t>
      </w:r>
    </w:p>
    <w:p w14:paraId="1E83E619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/>
        </w:rPr>
        <w:t>7.5. Após a emissão da Ordem de Serviço (OS), a empresa contratada deverá executar integralmente os serviços no prazo máximo de 30 (trinta) dias corridos, contados a partir do recebimento da OS.</w:t>
      </w:r>
    </w:p>
    <w:p w14:paraId="451F0B1F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/>
        </w:rPr>
        <w:t>O cumprimento desse prazo é obrigatório, sendo responsabilidade da contratada organizar recursos, equipe e logística de forma a garantir a conclusão completa das atividades dentro do período estipulado, em conformidade com o cronograma aprovado pela Secretaria Municipal de Educação.</w:t>
      </w:r>
    </w:p>
    <w:p w14:paraId="52FA8D63" w14:textId="77777777" w:rsidR="00756B45" w:rsidRDefault="00756B45">
      <w:pPr>
        <w:jc w:val="both"/>
        <w:rPr>
          <w:rFonts w:ascii="Verdana" w:hAnsi="Verdana"/>
          <w:b/>
          <w:bCs/>
        </w:rPr>
      </w:pPr>
    </w:p>
    <w:p w14:paraId="710EE2BB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7.6. Relatórios, Registro Fotográfico e Mapas das Intervenções</w:t>
      </w:r>
    </w:p>
    <w:p w14:paraId="631D22FB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Nos termos dos arts. 55, 56 e 57, §1º, da Lei Federal nº 14.133/2021, a empresa contratada deverá elaborar </w:t>
      </w:r>
      <w:r>
        <w:rPr>
          <w:rFonts w:ascii="Verdana" w:hAnsi="Verdana"/>
          <w:b/>
          <w:bCs/>
        </w:rPr>
        <w:t>relatórios técnicos detalhados para cada unidade atendida</w:t>
      </w:r>
      <w:r>
        <w:rPr>
          <w:rFonts w:ascii="Verdana" w:hAnsi="Verdana"/>
        </w:rPr>
        <w:t>, garantindo rastreabilidade, fiscalização e comprovação da execução dos serviços.</w:t>
      </w:r>
    </w:p>
    <w:p w14:paraId="6FD3EB8B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Conteúdo obrigatório dos relatórios:</w:t>
      </w:r>
    </w:p>
    <w:p w14:paraId="30003712" w14:textId="77777777" w:rsidR="00756B45" w:rsidRDefault="00000000">
      <w:pPr>
        <w:numPr>
          <w:ilvl w:val="0"/>
          <w:numId w:val="9"/>
        </w:num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Informações da intervenção:</w:t>
      </w:r>
      <w:r>
        <w:rPr>
          <w:rFonts w:ascii="Verdana" w:hAnsi="Verdana"/>
        </w:rPr>
        <w:t xml:space="preserve"> data e horário da execução, tipo de serviço realizado (dedetização, desratização, descupinização), produtos utilizados (com dosagem e grupo químico), responsável técnico pela execução e observações sobre áreas críticas;</w:t>
      </w:r>
    </w:p>
    <w:p w14:paraId="134D85E2" w14:textId="77777777" w:rsidR="00756B45" w:rsidRDefault="00000000">
      <w:pPr>
        <w:numPr>
          <w:ilvl w:val="0"/>
          <w:numId w:val="9"/>
        </w:num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Registro fotográfico:</w:t>
      </w:r>
      <w:r>
        <w:rPr>
          <w:rFonts w:ascii="Verdana" w:hAnsi="Verdana"/>
        </w:rPr>
        <w:t xml:space="preserve"> imagens datadas das áreas antes e após a intervenção, devidamente identificadas com o nome da unidade atendida;</w:t>
      </w:r>
    </w:p>
    <w:p w14:paraId="2015E880" w14:textId="77777777" w:rsidR="00756B45" w:rsidRDefault="00000000">
      <w:pPr>
        <w:numPr>
          <w:ilvl w:val="0"/>
          <w:numId w:val="9"/>
        </w:num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Mapas ou plantas baixas:</w:t>
      </w:r>
      <w:r>
        <w:rPr>
          <w:rFonts w:ascii="Verdana" w:hAnsi="Verdana"/>
        </w:rPr>
        <w:t xml:space="preserve"> indicação detalhada dos pontos tratados; na ausência de planta, poderá ser apresentado mapa simplificado ou fotografia aérea;</w:t>
      </w:r>
    </w:p>
    <w:p w14:paraId="03852F3A" w14:textId="77777777" w:rsidR="00756B45" w:rsidRDefault="00000000">
      <w:pPr>
        <w:numPr>
          <w:ilvl w:val="0"/>
          <w:numId w:val="9"/>
        </w:num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Laudos técnicos e certificados:</w:t>
      </w:r>
      <w:r>
        <w:rPr>
          <w:rFonts w:ascii="Verdana" w:hAnsi="Verdana"/>
        </w:rPr>
        <w:t xml:space="preserve"> descrição completa dos serviços realizados, produtos aplicados, métodos utilizados, medidas de segurança adotadas, avaliação da eficácia das ações e recomendações para futuras intervenções; emissão de </w:t>
      </w:r>
      <w:r>
        <w:rPr>
          <w:rFonts w:ascii="Verdana" w:hAnsi="Verdana"/>
          <w:b/>
          <w:bCs/>
        </w:rPr>
        <w:t>certificado de execução</w:t>
      </w:r>
      <w:r>
        <w:rPr>
          <w:rFonts w:ascii="Verdana" w:hAnsi="Verdana"/>
        </w:rPr>
        <w:t xml:space="preserve"> confirmando que os serviços foram realizados conforme cronograma aprovado;</w:t>
      </w:r>
    </w:p>
    <w:p w14:paraId="27716471" w14:textId="77777777" w:rsidR="00756B45" w:rsidRDefault="00000000">
      <w:pPr>
        <w:numPr>
          <w:ilvl w:val="0"/>
          <w:numId w:val="9"/>
        </w:num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Formato de entrega:</w:t>
      </w:r>
      <w:r>
        <w:rPr>
          <w:rFonts w:ascii="Verdana" w:hAnsi="Verdana"/>
        </w:rPr>
        <w:t xml:space="preserve"> relatórios, mapas e laudos devem ser fornecidos em </w:t>
      </w:r>
      <w:r>
        <w:rPr>
          <w:rFonts w:ascii="Verdana" w:hAnsi="Verdana"/>
          <w:b/>
          <w:bCs/>
        </w:rPr>
        <w:t>meio digital (PDF)</w:t>
      </w:r>
      <w:r>
        <w:rPr>
          <w:rFonts w:ascii="Verdana" w:hAnsi="Verdana"/>
        </w:rPr>
        <w:t xml:space="preserve"> e impresso, com fotografias organizadas digitalmente, e todos os documentos devidamente assinados pelo responsável técnico.</w:t>
      </w:r>
    </w:p>
    <w:p w14:paraId="44270882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Esta exigência assegura </w:t>
      </w:r>
      <w:r>
        <w:rPr>
          <w:rFonts w:ascii="Verdana" w:hAnsi="Verdana"/>
          <w:b/>
          <w:bCs/>
        </w:rPr>
        <w:t>comprovação e acompanhamento do objeto contratado</w:t>
      </w:r>
      <w:r>
        <w:rPr>
          <w:rFonts w:ascii="Verdana" w:hAnsi="Verdana"/>
        </w:rPr>
        <w:t xml:space="preserve">, atendendo aos dispositivos legais aplicáveis e garantindo transparência, controle e rastreabilidade das ações </w:t>
      </w:r>
      <w:proofErr w:type="gramStart"/>
      <w:r>
        <w:rPr>
          <w:rFonts w:ascii="Verdana" w:hAnsi="Verdana"/>
        </w:rPr>
        <w:t>realizadas.</w:t>
      </w:r>
      <w:r>
        <w:rPr>
          <w:rFonts w:ascii="Verdana" w:hAnsi="Verdana"/>
          <w:b/>
          <w:bCs/>
          <w:vanish/>
        </w:rPr>
        <w:t>Parte</w:t>
      </w:r>
      <w:proofErr w:type="gramEnd"/>
      <w:r>
        <w:rPr>
          <w:rFonts w:ascii="Verdana" w:hAnsi="Verdana"/>
          <w:b/>
          <w:bCs/>
          <w:vanish/>
        </w:rPr>
        <w:t xml:space="preserve"> superior do formulário</w:t>
      </w:r>
    </w:p>
    <w:p w14:paraId="287E4BAE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  <w:vanish/>
        </w:rPr>
        <w:t>Parte inferior do formulário</w:t>
      </w:r>
    </w:p>
    <w:p w14:paraId="102A0DA2" w14:textId="77777777" w:rsidR="00756B45" w:rsidRDefault="00756B45">
      <w:pPr>
        <w:jc w:val="both"/>
        <w:rPr>
          <w:rFonts w:ascii="Verdana" w:hAnsi="Verdana"/>
          <w:color w:val="FF0000"/>
        </w:rPr>
      </w:pPr>
    </w:p>
    <w:p w14:paraId="3859B4E7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lastRenderedPageBreak/>
        <w:t>7.7. Forma de Contratação</w:t>
      </w:r>
    </w:p>
    <w:p w14:paraId="647DCC78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Cs/>
        </w:rPr>
        <w:t>A contratação será realizada por valor global, garantindo que todas as unidades sejam atendidas de forma padronizada, uniforme e contínua, conforme cronograma aprovado pela Administração.</w:t>
      </w:r>
    </w:p>
    <w:p w14:paraId="491A0D88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7.8. Composição de Preços</w:t>
      </w:r>
    </w:p>
    <w:p w14:paraId="0785F081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Cs/>
        </w:rPr>
        <w:t>Os preços ofertados deverão incluir todas as despesas diretas e indiretas necessárias à perfeita execução dos serviços, tais como:</w:t>
      </w:r>
    </w:p>
    <w:p w14:paraId="38682D07" w14:textId="77777777" w:rsidR="00756B45" w:rsidRDefault="00000000">
      <w:pPr>
        <w:numPr>
          <w:ilvl w:val="0"/>
          <w:numId w:val="10"/>
        </w:numPr>
        <w:jc w:val="both"/>
        <w:rPr>
          <w:rFonts w:ascii="Verdana" w:hAnsi="Verdana"/>
        </w:rPr>
      </w:pPr>
      <w:r>
        <w:rPr>
          <w:rFonts w:ascii="Verdana" w:hAnsi="Verdana"/>
          <w:bCs/>
        </w:rPr>
        <w:t>mão de obra;</w:t>
      </w:r>
    </w:p>
    <w:p w14:paraId="0F9426CF" w14:textId="77777777" w:rsidR="00756B45" w:rsidRDefault="00000000">
      <w:pPr>
        <w:numPr>
          <w:ilvl w:val="0"/>
          <w:numId w:val="10"/>
        </w:numPr>
        <w:jc w:val="both"/>
        <w:rPr>
          <w:rFonts w:ascii="Verdana" w:hAnsi="Verdana"/>
        </w:rPr>
      </w:pPr>
      <w:r>
        <w:rPr>
          <w:rFonts w:ascii="Verdana" w:hAnsi="Verdana"/>
          <w:bCs/>
        </w:rPr>
        <w:t>materiais de consumo e insumos;</w:t>
      </w:r>
    </w:p>
    <w:p w14:paraId="41A18EB1" w14:textId="77777777" w:rsidR="00756B45" w:rsidRDefault="00000000">
      <w:pPr>
        <w:numPr>
          <w:ilvl w:val="0"/>
          <w:numId w:val="10"/>
        </w:numPr>
        <w:jc w:val="both"/>
        <w:rPr>
          <w:rFonts w:ascii="Verdana" w:hAnsi="Verdana"/>
        </w:rPr>
      </w:pPr>
      <w:r>
        <w:rPr>
          <w:rFonts w:ascii="Verdana" w:hAnsi="Verdana"/>
          <w:bCs/>
        </w:rPr>
        <w:t>equipamentos e ferramentas;</w:t>
      </w:r>
    </w:p>
    <w:p w14:paraId="6DEBFEAE" w14:textId="77777777" w:rsidR="00756B45" w:rsidRDefault="00000000">
      <w:pPr>
        <w:numPr>
          <w:ilvl w:val="0"/>
          <w:numId w:val="10"/>
        </w:numPr>
        <w:jc w:val="both"/>
        <w:rPr>
          <w:rFonts w:ascii="Verdana" w:hAnsi="Verdana"/>
        </w:rPr>
      </w:pPr>
      <w:r>
        <w:rPr>
          <w:rFonts w:ascii="Verdana" w:hAnsi="Verdana"/>
          <w:bCs/>
        </w:rPr>
        <w:t>encargos trabalhistas, previdenciários e fiscais;</w:t>
      </w:r>
    </w:p>
    <w:p w14:paraId="11964603" w14:textId="77777777" w:rsidR="00756B45" w:rsidRDefault="00000000">
      <w:pPr>
        <w:numPr>
          <w:ilvl w:val="0"/>
          <w:numId w:val="10"/>
        </w:numPr>
        <w:jc w:val="both"/>
        <w:rPr>
          <w:rFonts w:ascii="Verdana" w:hAnsi="Verdana"/>
        </w:rPr>
      </w:pPr>
      <w:r>
        <w:rPr>
          <w:rFonts w:ascii="Verdana" w:hAnsi="Verdana"/>
          <w:bCs/>
        </w:rPr>
        <w:t>tributos, seguros, transporte e demais custos comerciais;</w:t>
      </w:r>
    </w:p>
    <w:p w14:paraId="4D088AAD" w14:textId="77777777" w:rsidR="00756B45" w:rsidRDefault="00000000">
      <w:pPr>
        <w:numPr>
          <w:ilvl w:val="0"/>
          <w:numId w:val="10"/>
        </w:numPr>
        <w:jc w:val="both"/>
        <w:rPr>
          <w:rFonts w:ascii="Verdana" w:hAnsi="Verdana"/>
        </w:rPr>
      </w:pPr>
      <w:r>
        <w:rPr>
          <w:rFonts w:ascii="Verdana" w:hAnsi="Verdana"/>
          <w:bCs/>
        </w:rPr>
        <w:t>lucro e quaisquer outros encargos necessários à execução completa do objeto contratual.</w:t>
      </w:r>
    </w:p>
    <w:p w14:paraId="5BBCE16B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7.9. Responsabilidade pelos Insumos</w:t>
      </w:r>
    </w:p>
    <w:p w14:paraId="7820A627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Cs/>
        </w:rPr>
        <w:t>Todos os insumos, produtos químicos e materiais necessários à execução dos serviços serão de responsabilidade integral da contratada, incluindo armazenamento, transporte e aplicação segura, conforme normas de biossegurança e legislação sanitária vigente.</w:t>
      </w:r>
    </w:p>
    <w:p w14:paraId="17930FAB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7.10. Vigência do Contrato</w:t>
      </w:r>
    </w:p>
    <w:p w14:paraId="7FCCE35E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Considerando a </w:t>
      </w:r>
      <w:r>
        <w:rPr>
          <w:rFonts w:ascii="Verdana" w:hAnsi="Verdana"/>
          <w:b/>
          <w:bCs/>
          <w:sz w:val="20"/>
          <w:szCs w:val="20"/>
        </w:rPr>
        <w:t>ausência de capacidade técnica operacional própria</w:t>
      </w:r>
      <w:r>
        <w:rPr>
          <w:rFonts w:ascii="Verdana" w:hAnsi="Verdana"/>
          <w:sz w:val="20"/>
          <w:szCs w:val="20"/>
        </w:rPr>
        <w:t xml:space="preserve">, conforme detalhado no item </w:t>
      </w:r>
      <w:r>
        <w:rPr>
          <w:rFonts w:ascii="Verdana" w:hAnsi="Verdana"/>
          <w:b/>
          <w:bCs/>
          <w:sz w:val="20"/>
          <w:szCs w:val="20"/>
        </w:rPr>
        <w:t>5.2</w:t>
      </w:r>
      <w:r>
        <w:rPr>
          <w:rFonts w:ascii="Verdana" w:hAnsi="Verdana"/>
          <w:sz w:val="20"/>
          <w:szCs w:val="20"/>
        </w:rPr>
        <w:t xml:space="preserve"> deste Estudo, os serviços de Manejo Integrado de Pragas (MIP) são caracterizados como </w:t>
      </w:r>
      <w:r>
        <w:rPr>
          <w:rFonts w:ascii="Verdana" w:hAnsi="Verdana"/>
          <w:b/>
          <w:bCs/>
          <w:sz w:val="20"/>
          <w:szCs w:val="20"/>
        </w:rPr>
        <w:t>serviços comuns de prestação contínua</w:t>
      </w:r>
      <w:r>
        <w:rPr>
          <w:rFonts w:ascii="Verdana" w:hAnsi="Verdana"/>
          <w:sz w:val="20"/>
          <w:szCs w:val="20"/>
        </w:rPr>
        <w:t>. A execução por empresa especializada é essencial para suprir a carência de pessoal habilitado e equipamentos específicos da Administração, garantindo a salubridade das unidades escolares.</w:t>
      </w:r>
    </w:p>
    <w:p w14:paraId="723B7B97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7.10.1. Prazo de Vigência:</w:t>
      </w:r>
      <w:r>
        <w:rPr>
          <w:rFonts w:ascii="Verdana" w:hAnsi="Verdana"/>
          <w:sz w:val="20"/>
          <w:szCs w:val="20"/>
        </w:rPr>
        <w:t xml:space="preserve"> O contrato terá vigência inicial de </w:t>
      </w:r>
      <w:r>
        <w:rPr>
          <w:rFonts w:ascii="Verdana" w:hAnsi="Verdana"/>
          <w:b/>
          <w:bCs/>
          <w:sz w:val="20"/>
          <w:szCs w:val="20"/>
        </w:rPr>
        <w:t>12 (doze) meses</w:t>
      </w:r>
      <w:r>
        <w:rPr>
          <w:rFonts w:ascii="Verdana" w:hAnsi="Verdana"/>
          <w:sz w:val="20"/>
          <w:szCs w:val="20"/>
        </w:rPr>
        <w:t xml:space="preserve">, podendo ser prorrogado sucessivamente por períodos iguais ou inferiores, até o limite de </w:t>
      </w:r>
      <w:r>
        <w:rPr>
          <w:rFonts w:ascii="Verdana" w:hAnsi="Verdana"/>
          <w:b/>
          <w:bCs/>
          <w:sz w:val="20"/>
          <w:szCs w:val="20"/>
        </w:rPr>
        <w:t>10 (dez) anos</w:t>
      </w:r>
      <w:r>
        <w:rPr>
          <w:rFonts w:ascii="Verdana" w:hAnsi="Verdana"/>
          <w:sz w:val="20"/>
          <w:szCs w:val="20"/>
        </w:rPr>
        <w:t xml:space="preserve">, nos termos do </w:t>
      </w:r>
      <w:r>
        <w:rPr>
          <w:rFonts w:ascii="Verdana" w:hAnsi="Verdana"/>
          <w:b/>
          <w:bCs/>
          <w:sz w:val="20"/>
          <w:szCs w:val="20"/>
        </w:rPr>
        <w:t>art. 106 da Lei nº 14.133/2021</w:t>
      </w:r>
      <w:r>
        <w:rPr>
          <w:rFonts w:ascii="Verdana" w:hAnsi="Verdana"/>
          <w:sz w:val="20"/>
          <w:szCs w:val="20"/>
        </w:rPr>
        <w:t>, desde que demonstrada a vantajosidade econômica para a Administração.</w:t>
      </w:r>
    </w:p>
    <w:p w14:paraId="6F01462A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7.10.2. Base Orçamentária:</w:t>
      </w:r>
      <w:r>
        <w:rPr>
          <w:rFonts w:ascii="Verdana" w:hAnsi="Verdana"/>
          <w:sz w:val="20"/>
          <w:szCs w:val="20"/>
        </w:rPr>
        <w:t xml:space="preserve"> O valor global estimado para esta contratação refere-se ao </w:t>
      </w:r>
      <w:r>
        <w:rPr>
          <w:rFonts w:ascii="Verdana" w:hAnsi="Verdana"/>
          <w:b/>
          <w:bCs/>
          <w:sz w:val="20"/>
          <w:szCs w:val="20"/>
        </w:rPr>
        <w:t>período de 12 (doze) meses</w:t>
      </w:r>
      <w:r>
        <w:rPr>
          <w:rFonts w:ascii="Verdana" w:hAnsi="Verdana"/>
          <w:sz w:val="20"/>
          <w:szCs w:val="20"/>
        </w:rPr>
        <w:t xml:space="preserve"> (compreendendo 02 ciclos de aplicação em todas as unidades), devendo a dotação orçamentária ser garantida anualmente para a manutenção do cronograma semestral.</w:t>
      </w:r>
    </w:p>
    <w:p w14:paraId="1EEDB245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  <w:color w:val="000000" w:themeColor="text1"/>
          <w:highlight w:val="yellow"/>
        </w:rPr>
        <w:t>7.10.3. Reajuste: Para fins de atendimento ao item "c" do despacho da Procuradoria-Geral do Município (Processo nº 1789/2026), estabelece-se que o reajuste do valor contratual será realizado anualmente, tendo como data-base a data do orçamento estimado e utilizando o índice oficial IPCA (Índice Nacional de Preços ao Consumidor Amplo) para a correção, visando a manutenção do equilíbrio econômico-financeiro, conforme determina a Lei nº 14.133/2021.</w:t>
      </w:r>
    </w:p>
    <w:p w14:paraId="1FDCC208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7.11. Justificativa para a Contratação Especializada</w:t>
      </w:r>
    </w:p>
    <w:p w14:paraId="730C72E3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Cs/>
        </w:rPr>
        <w:t>Considerando que a Administração Pública não dispõe de servidores com capacitação técnica, materiais, produtos, equipamentos e certificação necessários para a execução destes serviços, torna-se imprescindível a contratação de empresa especializada.</w:t>
      </w:r>
    </w:p>
    <w:p w14:paraId="3FA06155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7.12. Objeto e Abrangência dos Serviços</w:t>
      </w:r>
    </w:p>
    <w:p w14:paraId="06C2BEE4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</w:rPr>
        <w:t>A empresa contratada deverá executar serviços de Manejo Integrado de Pragas (MIP), abrangendo todas as áreas das unidades escolares. O serviço é caracterizado como serviço comum de prestação contínua, uma vez que a interrupção das atividades de controle de vetores coloca em risco imediato a saúde da comunidade escolar e a salubridade das instalações, exigindo manutenção periódica e ininterrupta conforme preconiza a RDC nº 52/2009 da ANVISA.</w:t>
      </w:r>
    </w:p>
    <w:p w14:paraId="7821EF77" w14:textId="77777777" w:rsidR="00756B45" w:rsidRDefault="00756B45">
      <w:pPr>
        <w:tabs>
          <w:tab w:val="left" w:pos="2970"/>
        </w:tabs>
        <w:jc w:val="both"/>
        <w:rPr>
          <w:rFonts w:ascii="Verdana" w:hAnsi="Verdana"/>
          <w:b/>
          <w:bCs/>
        </w:rPr>
      </w:pPr>
    </w:p>
    <w:p w14:paraId="48ECA2BD" w14:textId="77777777" w:rsidR="00756B45" w:rsidRDefault="00000000">
      <w:pPr>
        <w:tabs>
          <w:tab w:val="left" w:pos="2970"/>
        </w:tabs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8. PAGAMENTOS</w:t>
      </w:r>
    </w:p>
    <w:p w14:paraId="392C05E7" w14:textId="77777777" w:rsidR="00756B45" w:rsidRDefault="00000000">
      <w:pPr>
        <w:tabs>
          <w:tab w:val="left" w:pos="2970"/>
        </w:tabs>
        <w:jc w:val="both"/>
        <w:rPr>
          <w:rFonts w:ascii="Verdana" w:hAnsi="Verdana"/>
        </w:rPr>
      </w:pPr>
      <w:r>
        <w:rPr>
          <w:rFonts w:ascii="Verdana" w:hAnsi="Verdana"/>
        </w:rPr>
        <w:t>8.1. O pagamento será efetuado mediante a apresentação da Nota Fiscal Eletrônica de Serviços, acompanhada de todos os documentos comprobatórios de regularidade fiscal e trabalhista exigidos pela Administração.</w:t>
      </w:r>
    </w:p>
    <w:p w14:paraId="68EB2F34" w14:textId="77777777" w:rsidR="00756B45" w:rsidRDefault="00000000">
      <w:pPr>
        <w:tabs>
          <w:tab w:val="left" w:pos="2970"/>
        </w:tabs>
        <w:jc w:val="both"/>
        <w:rPr>
          <w:rFonts w:ascii="Verdana" w:hAnsi="Verdana"/>
        </w:rPr>
      </w:pPr>
      <w:r>
        <w:rPr>
          <w:rFonts w:ascii="Verdana" w:hAnsi="Verdana"/>
        </w:rPr>
        <w:t>8.2. Em caso de erros, inconsistências ou irregularidades na documentação fiscal, a nota será devolvida para correção, ficando o prazo de pagamento suspenso até a reapresentação correta dos documentos.</w:t>
      </w:r>
    </w:p>
    <w:p w14:paraId="217ED840" w14:textId="77777777" w:rsidR="00756B45" w:rsidRDefault="00000000">
      <w:pPr>
        <w:tabs>
          <w:tab w:val="left" w:pos="2970"/>
        </w:tabs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8.3. A Nota Fiscal deverá conter, obrigatoriamente, descrição detalhada do objeto contratado, identificando o serviço realizado, a unidade atendida e a respectiva periodicidade.</w:t>
      </w:r>
    </w:p>
    <w:p w14:paraId="1A3ADA7B" w14:textId="77777777" w:rsidR="00756B45" w:rsidRDefault="00000000">
      <w:pPr>
        <w:tabs>
          <w:tab w:val="left" w:pos="2970"/>
        </w:tabs>
        <w:jc w:val="both"/>
        <w:rPr>
          <w:rFonts w:ascii="Verdana" w:hAnsi="Verdana"/>
        </w:rPr>
      </w:pPr>
      <w:r>
        <w:rPr>
          <w:rFonts w:ascii="Verdana" w:hAnsi="Verdana"/>
        </w:rPr>
        <w:t>8.4. Deverá ser apresentado, junto à Nota Fiscal, o Certificado ou Laudo Técnico de Dedetização, emitido pela empresa contratada para cada unidade atendida, referente a cada serviço executado, assegurando a comprovação da execução conforme cronograma aprovado.</w:t>
      </w:r>
    </w:p>
    <w:p w14:paraId="5EDC623F" w14:textId="77777777" w:rsidR="00756B45" w:rsidRDefault="00000000">
      <w:pPr>
        <w:tabs>
          <w:tab w:val="left" w:pos="2970"/>
        </w:tabs>
        <w:jc w:val="both"/>
        <w:rPr>
          <w:rFonts w:ascii="Verdana" w:hAnsi="Verdana"/>
        </w:rPr>
      </w:pPr>
      <w:r>
        <w:rPr>
          <w:rFonts w:ascii="Verdana" w:hAnsi="Verdana"/>
        </w:rPr>
        <w:t>8.5. O pagamento será realizado exclusivamente pelos serviços efetivamente executados em cada ciclo semestral, conforme ateste de conformidade emitido pelo fiscal do contrato, mediante a conferência dos Laudos Técnicos e das respectivas Ordens de Serviço (OS) cumpridas.</w:t>
      </w:r>
    </w:p>
    <w:p w14:paraId="47B1E241" w14:textId="77777777" w:rsidR="00756B45" w:rsidRDefault="00756B45">
      <w:pPr>
        <w:jc w:val="both"/>
        <w:rPr>
          <w:rFonts w:ascii="Verdana" w:eastAsia="Arial" w:hAnsi="Verdana"/>
          <w:b/>
          <w:bCs/>
        </w:rPr>
      </w:pPr>
    </w:p>
    <w:p w14:paraId="0E41A983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/>
          <w:b/>
          <w:bCs/>
        </w:rPr>
        <w:t>9. LEVANTAMENTO DE MERCADO</w:t>
      </w:r>
    </w:p>
    <w:p w14:paraId="0810CE86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/>
        </w:rPr>
        <w:t>9.1. A estimativa de preços foi elaborada em conformidade com o disposto na Lei Federal nº 14.133/2021, especialmente em seu art. 18, inciso V, bem como no Decreto Municipal nº 3.268/2022, que regulamenta o procedimento administrativo para pesquisa de preços para aquisição de bens e contratação de serviços no âmbito da Administração Pública Direta e Indireta do Município de São Gabriel da Palha – ES. O levantamento observou os princípios da legalidade, planejamento, economicidade, eficiência e interesse público.</w:t>
      </w:r>
    </w:p>
    <w:p w14:paraId="07CFAC8C" w14:textId="77777777" w:rsidR="00756B45" w:rsidRDefault="00756B45">
      <w:pPr>
        <w:jc w:val="both"/>
        <w:rPr>
          <w:rFonts w:ascii="Verdana" w:eastAsia="Arial" w:hAnsi="Verdana"/>
        </w:rPr>
      </w:pPr>
    </w:p>
    <w:p w14:paraId="451B1D5F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/>
        </w:rPr>
        <w:t xml:space="preserve">9.2. A pesquisa de preços considerou o contrato vigente com a empresa </w:t>
      </w:r>
      <w:r>
        <w:rPr>
          <w:rFonts w:ascii="Verdana" w:eastAsia="Arial" w:hAnsi="Verdana"/>
          <w:b/>
          <w:bCs/>
        </w:rPr>
        <w:t>Dedetizadora Casa Limpa Ltda</w:t>
      </w:r>
      <w:r>
        <w:rPr>
          <w:rFonts w:ascii="Verdana" w:eastAsia="Arial" w:hAnsi="Verdana"/>
        </w:rPr>
        <w:t xml:space="preserve">, objeto prestação de serviços de dedetização, desinsetização (insetos rasteiros e voadores, como baratas, formigas, entre outros), combate a escorpião, descupinização, manejo e desalojamento de pragas, fornecimento de sistema de repelência de pombos por pulso elétrico, saneamento e desratização, com fornecimento de mão de obra, materiais, equipamentos e insumos necessários à execução dos serviços, com </w:t>
      </w:r>
      <w:r>
        <w:rPr>
          <w:rFonts w:ascii="Verdana" w:eastAsia="Arial" w:hAnsi="Verdana"/>
          <w:b/>
          <w:bCs/>
        </w:rPr>
        <w:t>periodicidade semestral</w:t>
      </w:r>
      <w:r>
        <w:rPr>
          <w:rFonts w:ascii="Verdana" w:eastAsia="Arial" w:hAnsi="Verdana"/>
        </w:rPr>
        <w:t>, totalizando até 2 (duas) aplicações no período de 12 (doze) meses, com vigência até 24/09/2026.</w:t>
      </w:r>
    </w:p>
    <w:p w14:paraId="3C42AD4A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/>
        </w:rPr>
        <w:t xml:space="preserve">Ressalta-se que </w:t>
      </w:r>
      <w:r>
        <w:rPr>
          <w:rFonts w:ascii="Verdana" w:eastAsia="Arial" w:hAnsi="Verdana"/>
          <w:b/>
          <w:bCs/>
        </w:rPr>
        <w:t>não se prevê a renovação deste contrato</w:t>
      </w:r>
      <w:r>
        <w:rPr>
          <w:rFonts w:ascii="Verdana" w:eastAsia="Arial" w:hAnsi="Verdana"/>
        </w:rPr>
        <w:t>, sendo utilizado apenas como parâmetro de referência de valores de mercado.</w:t>
      </w:r>
    </w:p>
    <w:p w14:paraId="64FEB950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/>
        </w:rPr>
        <w:t xml:space="preserve">O levantamento de preços foi conduzido pelo servidor </w:t>
      </w:r>
      <w:r>
        <w:rPr>
          <w:rFonts w:ascii="Verdana" w:eastAsia="Arial" w:hAnsi="Verdana"/>
          <w:b/>
          <w:bCs/>
        </w:rPr>
        <w:t>João Batista Antunes de Paulo</w:t>
      </w:r>
      <w:r>
        <w:rPr>
          <w:rFonts w:ascii="Verdana" w:eastAsia="Arial" w:hAnsi="Verdana"/>
        </w:rPr>
        <w:t xml:space="preserve">, matrícula nº 9.736, sendo todas as informações devidamente registradas e juntadas aos autos do processo administrativo, em conformidade com a </w:t>
      </w:r>
      <w:r>
        <w:rPr>
          <w:rFonts w:ascii="Verdana" w:eastAsia="Arial" w:hAnsi="Verdana"/>
          <w:b/>
          <w:bCs/>
        </w:rPr>
        <w:t>Lei nº 14.133/2021, arts. 17 e 18, §2º, e arts. 74 e 75</w:t>
      </w:r>
      <w:r>
        <w:rPr>
          <w:rFonts w:ascii="Verdana" w:eastAsia="Arial" w:hAnsi="Verdana"/>
        </w:rPr>
        <w:t xml:space="preserve">, bem como com a </w:t>
      </w:r>
      <w:r>
        <w:rPr>
          <w:rFonts w:ascii="Verdana" w:eastAsia="Arial" w:hAnsi="Verdana"/>
          <w:b/>
          <w:bCs/>
        </w:rPr>
        <w:t>Instrução Normativa SEGES/ME nº 65/2022</w:t>
      </w:r>
      <w:r>
        <w:rPr>
          <w:rFonts w:ascii="Verdana" w:eastAsia="Arial" w:hAnsi="Verdana"/>
        </w:rPr>
        <w:t>, garantindo fundamentação legal, transparência e rastreabilidade na estimativa de preços.</w:t>
      </w:r>
    </w:p>
    <w:p w14:paraId="1B180C34" w14:textId="77777777" w:rsidR="00756B45" w:rsidRDefault="00756B45">
      <w:pPr>
        <w:jc w:val="both"/>
        <w:rPr>
          <w:rFonts w:ascii="Verdana" w:eastAsia="Arial" w:hAnsi="Verdana"/>
        </w:rPr>
      </w:pPr>
    </w:p>
    <w:p w14:paraId="0498EE14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/>
        </w:rPr>
        <w:t>9.3. Os valores estimados foram apurados por unidade escolar, considerando as especificidades de cada local, quantitativos e condições de execução do serviço, conforme detalhamento constante no Anexo I deste ETP. Tal procedimento assegura que os preços estimados refletem os valores usualmente praticados no mercado e garantem a razoabilidade da estimativa.</w:t>
      </w:r>
    </w:p>
    <w:p w14:paraId="79F217CE" w14:textId="77777777" w:rsidR="00756B45" w:rsidRDefault="00756B45">
      <w:pPr>
        <w:jc w:val="both"/>
        <w:rPr>
          <w:rFonts w:ascii="Verdana" w:eastAsia="Arial" w:hAnsi="Verdana"/>
        </w:rPr>
      </w:pPr>
    </w:p>
    <w:p w14:paraId="57882FEC" w14:textId="77777777" w:rsidR="00756B45" w:rsidRDefault="00000000">
      <w:pPr>
        <w:jc w:val="both"/>
      </w:pPr>
      <w:r>
        <w:rPr>
          <w:rStyle w:val="Forte"/>
          <w:rFonts w:ascii="Verdana" w:hAnsi="Verdana"/>
        </w:rPr>
        <w:t>9.4.</w:t>
      </w:r>
      <w:r>
        <w:rPr>
          <w:rFonts w:ascii="Verdana" w:hAnsi="Verdana"/>
        </w:rPr>
        <w:t xml:space="preserve"> Registra-se que a pesquisa de preços foi realizada com base em diferentes fontes de referência, incluindo o contrato vigente com a empresa </w:t>
      </w:r>
      <w:r>
        <w:rPr>
          <w:rStyle w:val="whitespace-normal"/>
          <w:rFonts w:ascii="Verdana" w:hAnsi="Verdana"/>
        </w:rPr>
        <w:t>Dedetizadora Casa Limpa Ltda</w:t>
      </w:r>
      <w:r>
        <w:rPr>
          <w:rFonts w:ascii="Verdana" w:hAnsi="Verdana"/>
        </w:rPr>
        <w:t xml:space="preserve">, a </w:t>
      </w:r>
      <w:r>
        <w:rPr>
          <w:rStyle w:val="Forte"/>
          <w:rFonts w:ascii="Verdana" w:hAnsi="Verdana"/>
        </w:rPr>
        <w:t>Ata de Registro de Preços nº 001/2025</w:t>
      </w:r>
      <w:r>
        <w:rPr>
          <w:rFonts w:ascii="Verdana" w:hAnsi="Verdana"/>
        </w:rPr>
        <w:t xml:space="preserve"> do </w:t>
      </w:r>
      <w:r>
        <w:rPr>
          <w:rStyle w:val="whitespace-normal"/>
          <w:rFonts w:ascii="Verdana" w:hAnsi="Verdana"/>
        </w:rPr>
        <w:t>Consórcio Público da Região Noroeste do Estado do Espírito Santo</w:t>
      </w:r>
      <w:r>
        <w:rPr>
          <w:rFonts w:ascii="Verdana" w:hAnsi="Verdana"/>
        </w:rPr>
        <w:t xml:space="preserve">, bem como consultas a contratações públicas disponíveis no </w:t>
      </w:r>
      <w:r>
        <w:rPr>
          <w:rStyle w:val="whitespace-normal"/>
          <w:rFonts w:ascii="Verdana" w:hAnsi="Verdana"/>
        </w:rPr>
        <w:t>Portal Nacional de Contratações Públicas</w:t>
      </w:r>
      <w:r>
        <w:rPr>
          <w:rFonts w:ascii="Verdana" w:hAnsi="Verdana"/>
        </w:rPr>
        <w:t xml:space="preserve">, a exemplo de procedimentos realizados pelo Município de </w:t>
      </w:r>
      <w:r>
        <w:rPr>
          <w:rStyle w:val="whitespace-normal"/>
          <w:rFonts w:ascii="Verdana" w:hAnsi="Verdana"/>
        </w:rPr>
        <w:t>Vitória</w:t>
      </w:r>
      <w:r>
        <w:rPr>
          <w:rFonts w:ascii="Verdana" w:hAnsi="Verdana"/>
        </w:rPr>
        <w:t xml:space="preserve"> e pelo </w:t>
      </w:r>
      <w:r>
        <w:rPr>
          <w:rStyle w:val="whitespace-normal"/>
          <w:rFonts w:ascii="Verdana" w:hAnsi="Verdana"/>
        </w:rPr>
        <w:t>Instituto Federal do Espírito Santo</w:t>
      </w:r>
      <w:r>
        <w:rPr>
          <w:rFonts w:ascii="Verdana" w:hAnsi="Verdana"/>
        </w:rPr>
        <w:t xml:space="preserve"> – Campus </w:t>
      </w:r>
      <w:r>
        <w:rPr>
          <w:rStyle w:val="whitespace-normal"/>
          <w:rFonts w:ascii="Verdana" w:hAnsi="Verdana"/>
        </w:rPr>
        <w:t>Vila Velha</w:t>
      </w:r>
      <w:r>
        <w:rPr>
          <w:rFonts w:ascii="Verdana" w:hAnsi="Verdana"/>
        </w:rPr>
        <w:t>.</w:t>
      </w:r>
    </w:p>
    <w:p w14:paraId="1EA354C4" w14:textId="77777777" w:rsidR="00756B45" w:rsidRDefault="00756B45">
      <w:pPr>
        <w:jc w:val="both"/>
        <w:rPr>
          <w:rFonts w:ascii="Verdana" w:hAnsi="Verdana"/>
        </w:rPr>
      </w:pPr>
    </w:p>
    <w:p w14:paraId="7AF7A97C" w14:textId="77777777" w:rsidR="00756B45" w:rsidRDefault="00000000">
      <w:pPr>
        <w:jc w:val="both"/>
      </w:pPr>
      <w:r>
        <w:rPr>
          <w:rFonts w:ascii="Verdana" w:hAnsi="Verdana"/>
        </w:rPr>
        <w:t xml:space="preserve">Adicionalmente, diante da oferta limitada de fornecedores aptos à execução do objeto no mercado local, a pesquisa também se concentrou nas empresas disponíveis e atuantes no município de </w:t>
      </w:r>
      <w:r>
        <w:rPr>
          <w:rStyle w:val="whitespace-normal"/>
          <w:rFonts w:ascii="Verdana" w:hAnsi="Verdana"/>
        </w:rPr>
        <w:t>São Gabriel da Palha</w:t>
      </w:r>
      <w:r>
        <w:rPr>
          <w:rFonts w:ascii="Verdana" w:hAnsi="Verdana"/>
        </w:rPr>
        <w:t xml:space="preserve">. Os valores obtidos foram considerados compatíveis com aqueles praticados no mercado regional, não comprometendo a vantajosidade da futura contratação, em conformidade com o art. 23 da </w:t>
      </w:r>
      <w:r>
        <w:rPr>
          <w:rStyle w:val="whitespace-normal"/>
          <w:rFonts w:ascii="Verdana" w:hAnsi="Verdana"/>
        </w:rPr>
        <w:t>Lei nº 14.133/2021</w:t>
      </w:r>
      <w:r>
        <w:rPr>
          <w:rFonts w:ascii="Verdana" w:hAnsi="Verdana"/>
        </w:rPr>
        <w:t>.</w:t>
      </w:r>
    </w:p>
    <w:p w14:paraId="0A2DE26D" w14:textId="77777777" w:rsidR="00756B45" w:rsidRDefault="00756B45">
      <w:pPr>
        <w:rPr>
          <w:rFonts w:ascii="Verdana" w:hAnsi="Verdana"/>
        </w:rPr>
      </w:pPr>
    </w:p>
    <w:p w14:paraId="1D542420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10. DESCRIÇÃO DA SOLUÇÃO COMO UM TODO</w:t>
      </w:r>
    </w:p>
    <w:p w14:paraId="3FFA9FC4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10.1. A solução compreende a contratação de empresa especializada para a prestação de serviços contínuos de Manejo Integrado de Pragas (MIP), incluindo o controle de vetores e </w:t>
      </w:r>
      <w:r>
        <w:rPr>
          <w:rFonts w:ascii="Verdana" w:hAnsi="Verdana"/>
        </w:rPr>
        <w:lastRenderedPageBreak/>
        <w:t>pragas urbanas (desinsetização, desratização e descupinização), com execução em dois ciclos anuais.</w:t>
      </w:r>
    </w:p>
    <w:p w14:paraId="0CCFE844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</w:rPr>
        <w:t>10.2. A execução dos serviços ocorrerá mediante prévia autorização da Secretaria Municipal de Educação e deverá ser formalizada por meio da emissão de Laudos Técnicos individuais, um para cada unidade atendida, garantindo rastreabilidade, fiscalização e comprovação da execução.</w:t>
      </w:r>
    </w:p>
    <w:p w14:paraId="1F0E25D0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</w:rPr>
        <w:t>10.3. O certame licitatório e a contratação decorrente reger-se-ão pela Lei nº 14.133/2021 (Nova Lei de Licitações e Contratos), bem como pelas demais normas correlatas vigentes, observando os princípios da legalidade, eficiência, economicidade e interesse público.</w:t>
      </w:r>
    </w:p>
    <w:p w14:paraId="7CCD5D5F" w14:textId="77777777" w:rsidR="00756B45" w:rsidRDefault="00756B45">
      <w:pPr>
        <w:jc w:val="both"/>
        <w:rPr>
          <w:rFonts w:ascii="Verdana" w:hAnsi="Verdana"/>
        </w:rPr>
      </w:pPr>
    </w:p>
    <w:p w14:paraId="6D840A48" w14:textId="77777777" w:rsidR="00756B45" w:rsidRDefault="00000000">
      <w:pPr>
        <w:suppressAutoHyphens w:val="0"/>
        <w:jc w:val="both"/>
        <w:rPr>
          <w:rFonts w:ascii="Verdana" w:hAnsi="Verdana"/>
        </w:rPr>
      </w:pPr>
      <w:bookmarkStart w:id="0" w:name="_Hlk218600433"/>
      <w:r>
        <w:rPr>
          <w:rFonts w:ascii="Verdana" w:hAnsi="Verdana"/>
          <w:b/>
          <w:bCs/>
        </w:rPr>
        <w:t>11. PLANILHA ESTIMATIVA DA QUANTIDADE E PREÇO DE MERCADO DA CONTRATAÇÃO</w:t>
      </w:r>
    </w:p>
    <w:p w14:paraId="7D8B6743" w14:textId="77777777" w:rsidR="00756B45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/>
        </w:rPr>
        <w:t>11.1. As quantidades estimadas para a contratação foram definidas com base nas Requisições nº49,50 e 51/2026 e nas planilhas integrantes do presente Estudo Técnico Preliminar (ETP), que detalham os itens necessários à execução da solução proposta.</w:t>
      </w:r>
    </w:p>
    <w:p w14:paraId="68055FF6" w14:textId="77777777" w:rsidR="00756B45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/>
        </w:rPr>
        <w:t>11.2. A mensuração do serviço de dedetização foi realizada considerando a área total dos imóveis/unidades, adotando-se o metro quadrado (m²) como unidade de medida. Esse critério possibilita estimativas compatíveis com a demanda real, garantindo proporcionalidade entre os quantitativos previstos, os insumos necessários e a mão de obra exigida.</w:t>
      </w:r>
    </w:p>
    <w:p w14:paraId="313F4C7D" w14:textId="77777777" w:rsidR="00756B45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/>
        </w:rPr>
        <w:t xml:space="preserve">11.3. </w:t>
      </w:r>
      <w:r>
        <w:rPr>
          <w:rFonts w:ascii="Verdana" w:hAnsi="Verdana"/>
          <w:iCs/>
        </w:rPr>
        <w:t>Os custos logísticos para unidades rurais foram calculados mediante coeficiente de deslocamento específico, garantindo a exequibilidade em áreas remotas</w:t>
      </w:r>
      <w:r>
        <w:rPr>
          <w:rFonts w:ascii="Verdana" w:hAnsi="Verdana"/>
        </w:rPr>
        <w:t>.</w:t>
      </w:r>
    </w:p>
    <w:p w14:paraId="6466355E" w14:textId="77777777" w:rsidR="00756B45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/>
        </w:rPr>
        <w:t>11.4. As Tabelas nº 1 e nº 2 consolidam os quantitativos estimados e os preços referenciais de mercado, apurados mediante pesquisa prévia realizada pela Administração. Os valores estimados são globais e incluem todos os custos diretos e indiretos necessários à execução do objeto, tais como:</w:t>
      </w:r>
    </w:p>
    <w:p w14:paraId="401A4ECF" w14:textId="77777777" w:rsidR="00756B45" w:rsidRDefault="00000000">
      <w:pPr>
        <w:numPr>
          <w:ilvl w:val="0"/>
          <w:numId w:val="11"/>
        </w:numPr>
        <w:suppressAutoHyphens w:val="0"/>
        <w:jc w:val="both"/>
        <w:rPr>
          <w:rFonts w:ascii="Verdana" w:hAnsi="Verdana"/>
        </w:rPr>
      </w:pPr>
      <w:r>
        <w:rPr>
          <w:rFonts w:ascii="Verdana" w:hAnsi="Verdana"/>
        </w:rPr>
        <w:t>insumos e materiais;</w:t>
      </w:r>
    </w:p>
    <w:p w14:paraId="4C4E381C" w14:textId="77777777" w:rsidR="00756B45" w:rsidRDefault="00000000">
      <w:pPr>
        <w:numPr>
          <w:ilvl w:val="0"/>
          <w:numId w:val="11"/>
        </w:numPr>
        <w:suppressAutoHyphens w:val="0"/>
        <w:jc w:val="both"/>
        <w:rPr>
          <w:rFonts w:ascii="Verdana" w:hAnsi="Verdana"/>
        </w:rPr>
      </w:pPr>
      <w:r>
        <w:rPr>
          <w:rFonts w:ascii="Verdana" w:hAnsi="Verdana"/>
        </w:rPr>
        <w:t>mão de obra qualificada;</w:t>
      </w:r>
    </w:p>
    <w:p w14:paraId="6FCB6D00" w14:textId="77777777" w:rsidR="00756B45" w:rsidRDefault="00000000">
      <w:pPr>
        <w:numPr>
          <w:ilvl w:val="0"/>
          <w:numId w:val="11"/>
        </w:numPr>
        <w:suppressAutoHyphens w:val="0"/>
        <w:jc w:val="both"/>
        <w:rPr>
          <w:rFonts w:ascii="Verdana" w:hAnsi="Verdana"/>
        </w:rPr>
      </w:pPr>
      <w:r>
        <w:rPr>
          <w:rFonts w:ascii="Verdana" w:hAnsi="Verdana"/>
        </w:rPr>
        <w:t>logística e transporte;</w:t>
      </w:r>
    </w:p>
    <w:p w14:paraId="6A21893E" w14:textId="77777777" w:rsidR="00756B45" w:rsidRDefault="00000000">
      <w:pPr>
        <w:numPr>
          <w:ilvl w:val="0"/>
          <w:numId w:val="11"/>
        </w:numPr>
        <w:suppressAutoHyphens w:val="0"/>
        <w:jc w:val="both"/>
        <w:rPr>
          <w:rFonts w:ascii="Verdana" w:hAnsi="Verdana"/>
        </w:rPr>
      </w:pPr>
      <w:r>
        <w:rPr>
          <w:rFonts w:ascii="Verdana" w:hAnsi="Verdana"/>
        </w:rPr>
        <w:t>encargos sociais, trabalhistas e previdenciários;</w:t>
      </w:r>
    </w:p>
    <w:p w14:paraId="239AED43" w14:textId="77777777" w:rsidR="00756B45" w:rsidRDefault="00000000">
      <w:pPr>
        <w:numPr>
          <w:ilvl w:val="0"/>
          <w:numId w:val="11"/>
        </w:numPr>
        <w:suppressAutoHyphens w:val="0"/>
        <w:jc w:val="both"/>
        <w:rPr>
          <w:rFonts w:ascii="Verdana" w:hAnsi="Verdana"/>
        </w:rPr>
      </w:pPr>
      <w:r>
        <w:rPr>
          <w:rFonts w:ascii="Verdana" w:hAnsi="Verdana"/>
        </w:rPr>
        <w:t>demais despesas acessórias necessárias à completa execução dos serviços.</w:t>
      </w:r>
    </w:p>
    <w:p w14:paraId="098CDFBC" w14:textId="77777777" w:rsidR="00756B45" w:rsidRDefault="00756B45">
      <w:pPr>
        <w:suppressAutoHyphens w:val="0"/>
        <w:jc w:val="both"/>
        <w:rPr>
          <w:rFonts w:ascii="Verdana" w:hAnsi="Verdana"/>
        </w:rPr>
      </w:pPr>
    </w:p>
    <w:p w14:paraId="7C6FF234" w14:textId="77777777" w:rsidR="00756B45" w:rsidRDefault="00000000">
      <w:pPr>
        <w:suppressAutoHyphens w:val="0"/>
        <w:rPr>
          <w:rFonts w:ascii="Verdana" w:hAnsi="Verdana"/>
        </w:rPr>
      </w:pPr>
      <w:r>
        <w:rPr>
          <w:rFonts w:ascii="Verdana" w:hAnsi="Verdana"/>
          <w:b/>
        </w:rPr>
        <w:t xml:space="preserve">TABELA Nº.1 - ZONA URBANA - </w:t>
      </w:r>
      <w:r>
        <w:rPr>
          <w:rFonts w:ascii="Verdana" w:eastAsia="Calibri" w:hAnsi="Verdana"/>
          <w:b/>
        </w:rPr>
        <w:t>Os serviços serão executados em 02 (dois) ciclos anuais (semestrais), nas áreas interna e externas.</w:t>
      </w:r>
    </w:p>
    <w:tbl>
      <w:tblPr>
        <w:tblStyle w:val="Tabelacomgrade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756B45" w14:paraId="707CFDCF" w14:textId="77777777">
        <w:tc>
          <w:tcPr>
            <w:tcW w:w="9781" w:type="dxa"/>
          </w:tcPr>
          <w:p w14:paraId="6DABBCF5" w14:textId="77777777" w:rsidR="00756B45" w:rsidRDefault="00000000">
            <w:pPr>
              <w:jc w:val="center"/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b/>
                <w:bCs/>
                <w:kern w:val="2"/>
              </w:rPr>
              <w:t>MANEJO INTEGRADO DE PRAGAS (MIP)</w:t>
            </w:r>
          </w:p>
        </w:tc>
      </w:tr>
      <w:tr w:rsidR="00756B45" w14:paraId="5D1A4A4E" w14:textId="77777777">
        <w:trPr>
          <w:trHeight w:val="70"/>
        </w:trPr>
        <w:tc>
          <w:tcPr>
            <w:tcW w:w="9781" w:type="dxa"/>
          </w:tcPr>
          <w:p w14:paraId="0621E351" w14:textId="77777777" w:rsidR="00756B45" w:rsidRDefault="00000000">
            <w:pPr>
              <w:contextualSpacing/>
              <w:jc w:val="both"/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kern w:val="2"/>
              </w:rPr>
              <w:t xml:space="preserve">Descrição: </w:t>
            </w:r>
            <w:r>
              <w:rPr>
                <w:rFonts w:ascii="Verdana" w:eastAsia="Calibri" w:hAnsi="Verdana"/>
                <w:bCs/>
                <w:kern w:val="2"/>
              </w:rPr>
              <w:t>Contratação de empresa especializada na prestação de serviços contínuos de Manejo Integrado de Pragas (MIP), com fornecimento de todos os insumos, equipamentos e mão de obra qualificada. Inclui desinsetização, desratização e descupinização, EPIs, EPCs, maquinário e emissão de Certificado de Execução e Laudo Técnico por unidade.</w:t>
            </w:r>
          </w:p>
        </w:tc>
      </w:tr>
      <w:tr w:rsidR="00756B45" w14:paraId="1FA32F62" w14:textId="77777777">
        <w:tc>
          <w:tcPr>
            <w:tcW w:w="9781" w:type="dxa"/>
          </w:tcPr>
          <w:p w14:paraId="54A16ECC" w14:textId="77777777" w:rsidR="00756B45" w:rsidRDefault="00000000">
            <w:pPr>
              <w:jc w:val="center"/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b/>
                <w:bCs/>
                <w:kern w:val="2"/>
              </w:rPr>
              <w:t>Escolas e Prédio Público – Zona Urbana</w:t>
            </w:r>
          </w:p>
          <w:p w14:paraId="5024677E" w14:textId="77777777" w:rsidR="00756B45" w:rsidRDefault="00756B45">
            <w:pPr>
              <w:tabs>
                <w:tab w:val="left" w:pos="4215"/>
              </w:tabs>
              <w:rPr>
                <w:rFonts w:ascii="Verdana" w:eastAsia="Calibri" w:hAnsi="Verdana" w:cs="SimSun"/>
                <w:kern w:val="2"/>
              </w:rPr>
            </w:pPr>
          </w:p>
        </w:tc>
      </w:tr>
    </w:tbl>
    <w:tbl>
      <w:tblPr>
        <w:tblW w:w="9768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"/>
        <w:gridCol w:w="3168"/>
        <w:gridCol w:w="994"/>
        <w:gridCol w:w="1563"/>
        <w:gridCol w:w="1062"/>
        <w:gridCol w:w="1120"/>
        <w:gridCol w:w="1125"/>
      </w:tblGrid>
      <w:tr w:rsidR="00756B45" w14:paraId="1C56EC25" w14:textId="77777777">
        <w:trPr>
          <w:trHeight w:val="327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525D7793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66C12C59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Local/Endereço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1BCF4C65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Área Interna m²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7AB26E0B" w14:textId="77777777" w:rsidR="00756B45" w:rsidRDefault="00756B45">
            <w:pPr>
              <w:jc w:val="center"/>
              <w:rPr>
                <w:rFonts w:ascii="Verdana" w:hAnsi="Verdana" w:cs="Arial"/>
                <w:b/>
                <w:bCs/>
              </w:rPr>
            </w:pPr>
          </w:p>
          <w:p w14:paraId="2A349468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Intervenções m²</w:t>
            </w:r>
          </w:p>
          <w:p w14:paraId="3E2E2FB9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p/Ano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0CE9B329" w14:textId="77777777" w:rsidR="00756B45" w:rsidRDefault="00756B45">
            <w:pPr>
              <w:jc w:val="center"/>
              <w:rPr>
                <w:rFonts w:ascii="Verdana" w:hAnsi="Verdana" w:cs="Arial"/>
                <w:b/>
                <w:bCs/>
              </w:rPr>
            </w:pPr>
          </w:p>
          <w:p w14:paraId="7C8AF565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Valor aplicação p/ m²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79F52B29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Valor p/aplicação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4D85AD51" w14:textId="77777777" w:rsidR="00756B45" w:rsidRDefault="00000000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Valor Total ano</w:t>
            </w:r>
          </w:p>
        </w:tc>
      </w:tr>
      <w:tr w:rsidR="00756B45" w14:paraId="4F11F585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E1A9C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FC457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Secretaria Municipal de Educação</w:t>
            </w:r>
          </w:p>
          <w:p w14:paraId="485C0623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Endereço: Praça Vicente Glazar, n 159, Centro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43FF7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1.500,51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692A3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636461FC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FFA88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090B0229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1,54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E8EB4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74953E85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2.310,79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C57D3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4.621,58</w:t>
            </w:r>
          </w:p>
        </w:tc>
      </w:tr>
      <w:tr w:rsidR="00756B45" w14:paraId="418D18AA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4CE2C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02</w:t>
            </w:r>
          </w:p>
        </w:tc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66C89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PEM Chapeuzinho Vermelho</w:t>
            </w:r>
          </w:p>
          <w:p w14:paraId="525EBC07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Endereço: Endereço: Rua Pedro Alvares Cabral, nº 43, Centro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046EA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1.120,51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D47D6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3E09CBDC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E9F13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2F8961D0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1,54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2E19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1E473E24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1.669,56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7A260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3.451,17</w:t>
            </w:r>
          </w:p>
        </w:tc>
      </w:tr>
      <w:tr w:rsidR="00756B45" w14:paraId="5F2680D0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7F8CA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03</w:t>
            </w:r>
          </w:p>
        </w:tc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03EB7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CMEI Dona Neca</w:t>
            </w:r>
          </w:p>
          <w:p w14:paraId="7A42CA71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Endereço: Rua projetada H01, s/nº Bairro João </w:t>
            </w:r>
            <w:r>
              <w:rPr>
                <w:rFonts w:ascii="Verdana" w:hAnsi="Verdana"/>
              </w:rPr>
              <w:lastRenderedPageBreak/>
              <w:t>Colombi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D5AB1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>427,88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D2C10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56405414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65D40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2C946639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1,54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269DA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4743C588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637,54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DDD7B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1.317,87</w:t>
            </w:r>
          </w:p>
        </w:tc>
      </w:tr>
      <w:tr w:rsidR="00756B45" w14:paraId="5CC6E571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89030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04</w:t>
            </w:r>
          </w:p>
        </w:tc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07F78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CMEI Pequeno Príncipe</w:t>
            </w:r>
          </w:p>
          <w:p w14:paraId="2D96E600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Endereço: Rua Adilton Fontes, nº 346, Bairro Cachoeira da Onça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26BD0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615,30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ECDED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785EBBE2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AD58B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68BF2CDB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1,54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8B4F7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79B30E51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947,56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9282B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1.895,12</w:t>
            </w:r>
          </w:p>
        </w:tc>
      </w:tr>
      <w:tr w:rsidR="00756B45" w14:paraId="42264E2C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D0880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05</w:t>
            </w:r>
          </w:p>
        </w:tc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BF847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CMEI Mercedes Gomes de Oliveira</w:t>
            </w:r>
          </w:p>
          <w:p w14:paraId="6510BD91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Endereço: Rua Palmyra Capelli Cassaro, nº79, Bairro São Sebastião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55498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279,72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B1ACB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0ECFB3D8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30DA1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2E9EC11E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1,54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35765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4D1C79B5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416.78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6018C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861,54</w:t>
            </w:r>
          </w:p>
        </w:tc>
      </w:tr>
      <w:tr w:rsidR="00756B45" w14:paraId="2B758915" w14:textId="77777777">
        <w:trPr>
          <w:trHeight w:val="26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1C08E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06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4E7DF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CMEI Violanda Fracalossi Galetti</w:t>
            </w:r>
          </w:p>
          <w:p w14:paraId="37901926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Endereço: Rua Antônio Bussular, nº 133, Bairro Aparecida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1970E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814,19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BC2A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52BB8D6B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2CDF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601F292C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1,54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65BD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66FAC2F9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1.213,14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6B6F4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2.507,71</w:t>
            </w:r>
          </w:p>
        </w:tc>
      </w:tr>
      <w:tr w:rsidR="00756B45" w14:paraId="2894A0DE" w14:textId="77777777">
        <w:trPr>
          <w:trHeight w:val="26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8A752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07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7D392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CMEI Luciana Glazar Pinaffo</w:t>
            </w:r>
          </w:p>
          <w:p w14:paraId="5DDC7FA0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Endereço: Rua Tereza Pratti Brozeguini, s/nº, Bairro Jardim Passamani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8F311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767,39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1BA21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2DBE4DA5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57B9E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655463F1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1,54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B0504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7D4C5CF1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1.143,41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6785E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2.363,56</w:t>
            </w:r>
          </w:p>
        </w:tc>
      </w:tr>
      <w:tr w:rsidR="00756B45" w14:paraId="6451A672" w14:textId="77777777">
        <w:trPr>
          <w:trHeight w:val="26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C1BB8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08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04F17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CMEI Vovó Zefa</w:t>
            </w:r>
          </w:p>
          <w:p w14:paraId="5216F8C0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Endereço: Rua Boa Vista, nº 30, Bairro boa Vista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1BDF5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901,66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428A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7A925623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F6AC8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13B0746B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1,54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EE6B7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0095DD04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1.343.47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C908A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2.777,11</w:t>
            </w:r>
          </w:p>
        </w:tc>
      </w:tr>
      <w:tr w:rsidR="00756B45" w14:paraId="04722467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B3E1E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09</w:t>
            </w:r>
          </w:p>
        </w:tc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C6D6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EMEFTI Bem Viver</w:t>
            </w:r>
          </w:p>
          <w:p w14:paraId="05EAD397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 xml:space="preserve">Endereço: </w:t>
            </w:r>
            <w:r>
              <w:rPr>
                <w:rFonts w:ascii="Verdana" w:hAnsi="Verdana"/>
              </w:rPr>
              <w:t>Rua Daniel Comboni s/n° - Bairro Vila Comboni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40526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1.046,65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64C9C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37B5D34A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96D2" w14:textId="77777777" w:rsidR="00756B45" w:rsidRDefault="00756B45">
            <w:pPr>
              <w:tabs>
                <w:tab w:val="left" w:pos="300"/>
                <w:tab w:val="center" w:pos="467"/>
              </w:tabs>
              <w:jc w:val="center"/>
              <w:rPr>
                <w:rFonts w:ascii="Verdana" w:hAnsi="Verdana"/>
              </w:rPr>
            </w:pPr>
          </w:p>
          <w:p w14:paraId="67E1E76E" w14:textId="77777777" w:rsidR="00756B45" w:rsidRDefault="00000000">
            <w:pPr>
              <w:tabs>
                <w:tab w:val="left" w:pos="300"/>
                <w:tab w:val="center" w:pos="467"/>
              </w:tabs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1,54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84B70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01F2F7C9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1.611.84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8834E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3.223,68</w:t>
            </w:r>
          </w:p>
        </w:tc>
      </w:tr>
      <w:tr w:rsidR="00756B45" w14:paraId="6D50C56E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B3E77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</w:t>
            </w:r>
          </w:p>
        </w:tc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813CD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EMEF Bertolo Malacarne</w:t>
            </w:r>
          </w:p>
          <w:p w14:paraId="56AC7EA1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Endereço:</w:t>
            </w:r>
            <w:r>
              <w:rPr>
                <w:rFonts w:ascii="Verdana" w:hAnsi="Verdana"/>
              </w:rPr>
              <w:t xml:space="preserve"> Rua João Justino, 42, Cachoeira da Onça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2DA8E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958,33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73AEC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6D6C588E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4435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1CDB9294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1,54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2EBD8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556E7A29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1.427,91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155AF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2.951,66</w:t>
            </w:r>
          </w:p>
        </w:tc>
      </w:tr>
      <w:tr w:rsidR="00756B45" w14:paraId="293568A1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30944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</w:t>
            </w:r>
          </w:p>
        </w:tc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75CBB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EMEF Anna Cavatti Colombi</w:t>
            </w:r>
          </w:p>
          <w:p w14:paraId="0F2D4269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Endereço: Rua Francisco Neves s/n – Bairro Boa Vista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96CC4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609,91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8501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25313D20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AC38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1A95D802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1,54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7B5A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0564EF22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908,77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6B11D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1.878,52</w:t>
            </w:r>
          </w:p>
        </w:tc>
      </w:tr>
      <w:tr w:rsidR="00756B45" w14:paraId="11CACC70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BC0D0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</w:t>
            </w:r>
          </w:p>
        </w:tc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0ACD3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EMEF Irmã Adelaide Bertocchi</w:t>
            </w:r>
          </w:p>
          <w:p w14:paraId="6192FC82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Endereço:</w:t>
            </w:r>
            <w:r>
              <w:rPr>
                <w:rFonts w:ascii="Verdana" w:hAnsi="Verdana"/>
              </w:rPr>
              <w:t xml:space="preserve"> Rua Eli Cardoso, s/nº - Centro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DF512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1.696,88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9851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41E34107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28F12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0277841A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1,54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395C3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10653C27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2.528,35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15446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5.226,39</w:t>
            </w:r>
          </w:p>
        </w:tc>
      </w:tr>
      <w:tr w:rsidR="00756B45" w14:paraId="2681564A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19159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13</w:t>
            </w:r>
          </w:p>
        </w:tc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1C0B3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EMEF Profª Maria Celeste Torezani Storch</w:t>
            </w:r>
          </w:p>
          <w:p w14:paraId="134A63CE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Endereço:</w:t>
            </w:r>
            <w:r>
              <w:rPr>
                <w:rFonts w:ascii="Verdana" w:hAnsi="Verdana"/>
              </w:rPr>
              <w:t xml:space="preserve"> Rua Deolindo Rocha Loureiro s/nº - Bairro Santa Cecília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381F8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913,11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E068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6F96E366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B64C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05C42701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1,54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8F6FA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45C7B5B4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1.360,53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28EEA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2.812,38</w:t>
            </w:r>
          </w:p>
        </w:tc>
      </w:tr>
      <w:tr w:rsidR="00756B45" w14:paraId="71F3BF5E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81FF6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14</w:t>
            </w:r>
          </w:p>
        </w:tc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EFA5B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EMEF Professor Carlos Dias Miranda Cunha</w:t>
            </w:r>
          </w:p>
          <w:p w14:paraId="50E754AB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End: Rua José Alves, s/n – Bairro Populares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7F544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552,26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9270B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6DDB95B4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B09E3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6E8707BA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1,54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6899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3AF9A381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822,87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25140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1.700,96</w:t>
            </w:r>
          </w:p>
        </w:tc>
      </w:tr>
      <w:tr w:rsidR="00756B45" w14:paraId="02F6D9ED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15F0D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15</w:t>
            </w:r>
          </w:p>
        </w:tc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50C2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EMEIEF João Gabriel</w:t>
            </w:r>
          </w:p>
          <w:p w14:paraId="6E2F16EA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Endereço:</w:t>
            </w:r>
            <w:r>
              <w:rPr>
                <w:rFonts w:ascii="Verdana" w:hAnsi="Verdana"/>
              </w:rPr>
              <w:t xml:space="preserve"> Rua Cecília Venturim Bragato, Nº 267 - Bairro Santa Terezinha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EF330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1.854,81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4CBB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07D0890A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5F5B5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59501FFB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1,54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7CA5B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644AEDA8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2.763,67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C35C0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5.712,81</w:t>
            </w:r>
          </w:p>
        </w:tc>
      </w:tr>
      <w:tr w:rsidR="00756B45" w14:paraId="73ABB6E7" w14:textId="77777777">
        <w:trPr>
          <w:trHeight w:val="269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2FE09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16</w:t>
            </w:r>
          </w:p>
        </w:tc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8E2B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EMEF ELIZA TIMM</w:t>
            </w:r>
          </w:p>
          <w:p w14:paraId="4F62CB81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Endereço:</w:t>
            </w:r>
            <w:r>
              <w:rPr>
                <w:rFonts w:ascii="Verdana" w:hAnsi="Verdana"/>
              </w:rPr>
              <w:t xml:space="preserve"> Rua Valdir Bone, s/n – Jardim Vitória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6036F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1.635,79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E7E8E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392A077F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E5AFF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50A5A388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1,54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6966" w14:textId="77777777" w:rsidR="00756B45" w:rsidRDefault="00756B45">
            <w:pPr>
              <w:rPr>
                <w:rFonts w:ascii="Verdana" w:hAnsi="Verdana"/>
              </w:rPr>
            </w:pPr>
          </w:p>
          <w:p w14:paraId="1BFB7BD2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2.437.33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9F43E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5.038,23</w:t>
            </w:r>
          </w:p>
        </w:tc>
      </w:tr>
    </w:tbl>
    <w:p w14:paraId="1D94A798" w14:textId="77777777" w:rsidR="00756B45" w:rsidRDefault="00000000">
      <w:pPr>
        <w:shd w:val="clear" w:color="auto" w:fill="D9D9D9" w:themeFill="background1" w:themeFillShade="D9"/>
        <w:tabs>
          <w:tab w:val="left" w:pos="720"/>
          <w:tab w:val="left" w:pos="5985"/>
        </w:tabs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Soma Geral Total – Zona Urbana (2 ciclos por ano):     </w:t>
      </w:r>
    </w:p>
    <w:p w14:paraId="6AEE2671" w14:textId="77777777" w:rsidR="00756B45" w:rsidRDefault="00000000">
      <w:pPr>
        <w:shd w:val="clear" w:color="auto" w:fill="D9D9D9" w:themeFill="background1" w:themeFillShade="D9"/>
        <w:tabs>
          <w:tab w:val="left" w:pos="720"/>
          <w:tab w:val="left" w:pos="5985"/>
        </w:tabs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lastRenderedPageBreak/>
        <w:t xml:space="preserve">Área Total a ser atendida: 31.388,74 m²  </w:t>
      </w:r>
    </w:p>
    <w:p w14:paraId="4D45AE0B" w14:textId="77777777" w:rsidR="00756B45" w:rsidRDefault="00000000">
      <w:pPr>
        <w:shd w:val="clear" w:color="auto" w:fill="D9D9D9" w:themeFill="background1" w:themeFillShade="D9"/>
        <w:tabs>
          <w:tab w:val="left" w:pos="720"/>
          <w:tab w:val="left" w:pos="5985"/>
        </w:tabs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Valor Total anual do serviço: R$48.340,29</w:t>
      </w:r>
    </w:p>
    <w:p w14:paraId="0532B28B" w14:textId="77777777" w:rsidR="00756B45" w:rsidRDefault="00756B45">
      <w:pPr>
        <w:jc w:val="both"/>
        <w:rPr>
          <w:rFonts w:ascii="Verdana" w:hAnsi="Verdana" w:cs="Arial"/>
          <w:b/>
          <w:color w:val="0000FF"/>
        </w:rPr>
      </w:pPr>
    </w:p>
    <w:p w14:paraId="04F82A1C" w14:textId="77777777" w:rsidR="00756B45" w:rsidRDefault="00000000">
      <w:pPr>
        <w:rPr>
          <w:rFonts w:ascii="Verdana" w:hAnsi="Verdana"/>
        </w:rPr>
      </w:pPr>
      <w:r>
        <w:rPr>
          <w:rFonts w:ascii="Verdana" w:hAnsi="Verdana"/>
          <w:b/>
        </w:rPr>
        <w:t xml:space="preserve">TABELA Nº.2 - ZONA RURAL – </w:t>
      </w:r>
      <w:r>
        <w:rPr>
          <w:rFonts w:ascii="Verdana" w:eastAsia="Calibri" w:hAnsi="Verdana"/>
          <w:b/>
        </w:rPr>
        <w:t xml:space="preserve">Os serviços serão executados em 02 (dois) ciclos anuais (semestrais), nas áreas interna e externas. </w:t>
      </w:r>
    </w:p>
    <w:tbl>
      <w:tblPr>
        <w:tblStyle w:val="Tabelacomgrade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756B45" w14:paraId="647E2FDB" w14:textId="77777777">
        <w:tc>
          <w:tcPr>
            <w:tcW w:w="9639" w:type="dxa"/>
          </w:tcPr>
          <w:p w14:paraId="3F741CB5" w14:textId="77777777" w:rsidR="00756B45" w:rsidRDefault="00000000">
            <w:pPr>
              <w:jc w:val="center"/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b/>
                <w:bCs/>
                <w:kern w:val="2"/>
              </w:rPr>
              <w:t>MANEJO INTEGRADO DE PRAGAS (MIP)</w:t>
            </w:r>
          </w:p>
        </w:tc>
      </w:tr>
      <w:tr w:rsidR="00756B45" w14:paraId="66B7F43D" w14:textId="77777777">
        <w:trPr>
          <w:trHeight w:val="70"/>
        </w:trPr>
        <w:tc>
          <w:tcPr>
            <w:tcW w:w="9639" w:type="dxa"/>
          </w:tcPr>
          <w:p w14:paraId="57FED82C" w14:textId="77777777" w:rsidR="00756B45" w:rsidRDefault="00000000">
            <w:pPr>
              <w:contextualSpacing/>
              <w:jc w:val="both"/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kern w:val="2"/>
              </w:rPr>
              <w:t xml:space="preserve">Descrição: </w:t>
            </w:r>
            <w:r>
              <w:rPr>
                <w:rFonts w:ascii="Verdana" w:eastAsia="Calibri" w:hAnsi="Verdana"/>
                <w:bCs/>
                <w:kern w:val="2"/>
              </w:rPr>
              <w:t>Contratação de empresa especializada na prestação de serviços contínuos de Manejo Integrado de Pragas (MIP), com fornecimento de todos os insumos, equipamentos e mão de obra qualificada. Inclui desinsetização, desratização e descupinização, EPIs, EPCs, maquinário e emissão de Certificado de Execução e Laudo Técnico por unidade.</w:t>
            </w:r>
          </w:p>
        </w:tc>
      </w:tr>
      <w:tr w:rsidR="00756B45" w14:paraId="6DCA30E7" w14:textId="77777777">
        <w:tc>
          <w:tcPr>
            <w:tcW w:w="9639" w:type="dxa"/>
          </w:tcPr>
          <w:p w14:paraId="3A21A359" w14:textId="77777777" w:rsidR="00756B45" w:rsidRDefault="00000000">
            <w:pPr>
              <w:jc w:val="center"/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 w:cs="SimSun"/>
                <w:b/>
                <w:bCs/>
                <w:kern w:val="2"/>
              </w:rPr>
              <w:t>Escolas – Zona Rural</w:t>
            </w:r>
          </w:p>
          <w:p w14:paraId="37846958" w14:textId="77777777" w:rsidR="00756B45" w:rsidRDefault="00756B45">
            <w:pPr>
              <w:tabs>
                <w:tab w:val="left" w:pos="4215"/>
              </w:tabs>
              <w:rPr>
                <w:rFonts w:ascii="Verdana" w:eastAsia="Calibri" w:hAnsi="Verdana" w:cs="SimSun"/>
                <w:kern w:val="2"/>
              </w:rPr>
            </w:pPr>
          </w:p>
        </w:tc>
      </w:tr>
    </w:tbl>
    <w:tbl>
      <w:tblPr>
        <w:tblW w:w="9626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6"/>
        <w:gridCol w:w="2604"/>
        <w:gridCol w:w="1013"/>
        <w:gridCol w:w="1361"/>
        <w:gridCol w:w="979"/>
        <w:gridCol w:w="1123"/>
        <w:gridCol w:w="1750"/>
      </w:tblGrid>
      <w:tr w:rsidR="00756B45" w14:paraId="4854C82E" w14:textId="77777777">
        <w:trPr>
          <w:trHeight w:val="269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00C30941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2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5546B57D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Local/Endereço</w:t>
            </w: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14AD6311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Área Interna m²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5ABE3C45" w14:textId="77777777" w:rsidR="00756B45" w:rsidRDefault="00756B45">
            <w:pPr>
              <w:jc w:val="center"/>
              <w:rPr>
                <w:rFonts w:ascii="Verdana" w:hAnsi="Verdana"/>
                <w:b/>
                <w:bCs/>
              </w:rPr>
            </w:pPr>
          </w:p>
          <w:p w14:paraId="4F1B0CA4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Intervenções m²</w:t>
            </w:r>
          </w:p>
          <w:p w14:paraId="5BC0C6CB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p/Ano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0D974413" w14:textId="77777777" w:rsidR="00756B45" w:rsidRDefault="00756B45">
            <w:pPr>
              <w:jc w:val="center"/>
              <w:rPr>
                <w:rFonts w:ascii="Verdana" w:hAnsi="Verdana"/>
                <w:b/>
                <w:bCs/>
              </w:rPr>
            </w:pPr>
          </w:p>
          <w:p w14:paraId="7F1B36B5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Valor aplicação p/ m²- R$</w:t>
            </w:r>
          </w:p>
        </w:tc>
        <w:tc>
          <w:tcPr>
            <w:tcW w:w="1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520ECB98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Valor p/aplicação</w:t>
            </w:r>
          </w:p>
          <w:p w14:paraId="1CA55A37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R$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0E82BB36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Valor anual estimado R$</w:t>
            </w:r>
          </w:p>
        </w:tc>
      </w:tr>
      <w:tr w:rsidR="00756B45" w14:paraId="3B8C93BD" w14:textId="77777777">
        <w:trPr>
          <w:trHeight w:val="70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06413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2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C2529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EMEIC Francisco José Mattedi</w:t>
            </w:r>
          </w:p>
          <w:p w14:paraId="5F0A8443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Endereço:</w:t>
            </w:r>
            <w:r>
              <w:rPr>
                <w:rFonts w:ascii="Verdana" w:hAnsi="Verdana"/>
              </w:rPr>
              <w:t xml:space="preserve"> Córrego General Rondon, aproximadamente 23km de distância da Sede</w:t>
            </w: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0ED9C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1.844,76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84965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48BB9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1,77</w:t>
            </w:r>
          </w:p>
        </w:tc>
        <w:tc>
          <w:tcPr>
            <w:tcW w:w="1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0FE7D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3.154,54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FE9C9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4FE89EE8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2A2510C9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6.530,45</w:t>
            </w:r>
          </w:p>
          <w:p w14:paraId="6B01B513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</w:tc>
      </w:tr>
      <w:tr w:rsidR="00756B45" w14:paraId="09D42D7D" w14:textId="77777777">
        <w:trPr>
          <w:trHeight w:val="269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C7AA0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02</w:t>
            </w:r>
          </w:p>
        </w:tc>
        <w:tc>
          <w:tcPr>
            <w:tcW w:w="2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9121C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EMEIEF Vila Fartura</w:t>
            </w:r>
          </w:p>
          <w:p w14:paraId="64C888AC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Zona Rural, aproximadamente a 23km distante da Sede</w:t>
            </w: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019C7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490,00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9EBB1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3BDA5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0A7F1C57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1,77</w:t>
            </w:r>
          </w:p>
        </w:tc>
        <w:tc>
          <w:tcPr>
            <w:tcW w:w="1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EEE54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837,90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9DEC0" w14:textId="77777777" w:rsidR="00756B45" w:rsidRDefault="00756B45">
            <w:pPr>
              <w:jc w:val="center"/>
              <w:rPr>
                <w:rFonts w:ascii="Verdana" w:hAnsi="Verdana"/>
                <w:color w:val="000000"/>
              </w:rPr>
            </w:pPr>
          </w:p>
          <w:p w14:paraId="58A33FD2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1.734,60</w:t>
            </w:r>
          </w:p>
        </w:tc>
      </w:tr>
      <w:tr w:rsidR="00756B45" w14:paraId="60138C27" w14:textId="77777777">
        <w:trPr>
          <w:trHeight w:val="269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1D1DA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03</w:t>
            </w:r>
          </w:p>
        </w:tc>
        <w:tc>
          <w:tcPr>
            <w:tcW w:w="2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C6FF1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EMEIEF Flor da Terra Roxa</w:t>
            </w:r>
          </w:p>
          <w:p w14:paraId="569F1890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Endereço: Zona Rural, aproximadamente a 35km distante da Sede</w:t>
            </w: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E2601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48,09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4B818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78B6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15FED209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1,77</w:t>
            </w:r>
          </w:p>
        </w:tc>
        <w:tc>
          <w:tcPr>
            <w:tcW w:w="1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C56AB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 xml:space="preserve"> 82,23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5CF31" w14:textId="77777777" w:rsidR="00756B45" w:rsidRDefault="00756B45">
            <w:pPr>
              <w:rPr>
                <w:rFonts w:ascii="Verdana" w:hAnsi="Verdana"/>
                <w:color w:val="000000"/>
              </w:rPr>
            </w:pPr>
          </w:p>
          <w:p w14:paraId="5A8A4206" w14:textId="77777777" w:rsidR="00756B45" w:rsidRDefault="00756B45">
            <w:pPr>
              <w:rPr>
                <w:rFonts w:ascii="Verdana" w:hAnsi="Verdana"/>
                <w:color w:val="000000"/>
              </w:rPr>
            </w:pPr>
          </w:p>
          <w:p w14:paraId="0513B501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 xml:space="preserve">              170,24</w:t>
            </w:r>
          </w:p>
        </w:tc>
      </w:tr>
      <w:tr w:rsidR="00756B45" w14:paraId="56FB7750" w14:textId="77777777">
        <w:trPr>
          <w:trHeight w:val="269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4951F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04</w:t>
            </w:r>
          </w:p>
        </w:tc>
        <w:tc>
          <w:tcPr>
            <w:tcW w:w="2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9C81E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CMEI Córrego Bley</w:t>
            </w:r>
          </w:p>
          <w:p w14:paraId="344ED20F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Zona Rural, aproximadamente a 12km distante da Sede</w:t>
            </w: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D54E7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84,36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EF863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BB8F9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2AD3D51E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1,77</w:t>
            </w:r>
          </w:p>
        </w:tc>
        <w:tc>
          <w:tcPr>
            <w:tcW w:w="1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39D44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 xml:space="preserve">     144,26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0A79" w14:textId="77777777" w:rsidR="00756B45" w:rsidRDefault="00756B45">
            <w:pPr>
              <w:jc w:val="center"/>
              <w:rPr>
                <w:rFonts w:ascii="Verdana" w:hAnsi="Verdana"/>
                <w:color w:val="000000"/>
              </w:rPr>
            </w:pPr>
          </w:p>
          <w:p w14:paraId="7DFFBCD0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298,63</w:t>
            </w:r>
          </w:p>
        </w:tc>
      </w:tr>
      <w:tr w:rsidR="00756B45" w14:paraId="5C845FC8" w14:textId="77777777">
        <w:trPr>
          <w:trHeight w:val="269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D2CBB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05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9AE4A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EMEIEF Patrimônio São Roque</w:t>
            </w:r>
          </w:p>
          <w:p w14:paraId="3FB03B1A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Endereço: Zona Rural, aproximadamente a 13km distante da Sede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835B3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185,53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10B64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EBC5E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1,77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D2F1A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 xml:space="preserve">      317,26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C0D3" w14:textId="77777777" w:rsidR="00756B45" w:rsidRDefault="00756B45">
            <w:pPr>
              <w:jc w:val="center"/>
              <w:rPr>
                <w:rFonts w:ascii="Verdana" w:hAnsi="Verdana"/>
                <w:color w:val="000000"/>
              </w:rPr>
            </w:pPr>
          </w:p>
          <w:p w14:paraId="53A64A53" w14:textId="77777777" w:rsidR="00756B45" w:rsidRDefault="00756B45">
            <w:pPr>
              <w:jc w:val="center"/>
              <w:rPr>
                <w:rFonts w:ascii="Verdana" w:hAnsi="Verdana"/>
                <w:color w:val="000000"/>
              </w:rPr>
            </w:pPr>
          </w:p>
          <w:p w14:paraId="2D7E2CAB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656,78</w:t>
            </w:r>
          </w:p>
        </w:tc>
      </w:tr>
      <w:tr w:rsidR="00756B45" w14:paraId="66735E27" w14:textId="77777777">
        <w:trPr>
          <w:trHeight w:val="269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B5651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06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B5964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EMEIEF São Sebastião da Barra Seca</w:t>
            </w:r>
          </w:p>
          <w:p w14:paraId="1270FD64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Endereço: Zona Rural, aproximadamente a 21km distante da Sede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59150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98,95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47571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A3F8C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6814D358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01FCCFFB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1,77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39112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 xml:space="preserve"> 169,20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44EC" w14:textId="77777777" w:rsidR="00756B45" w:rsidRDefault="00756B45">
            <w:pPr>
              <w:jc w:val="center"/>
              <w:rPr>
                <w:rFonts w:ascii="Verdana" w:hAnsi="Verdana"/>
                <w:color w:val="000000"/>
              </w:rPr>
            </w:pPr>
          </w:p>
          <w:p w14:paraId="14DDD300" w14:textId="77777777" w:rsidR="00756B45" w:rsidRDefault="00756B45">
            <w:pPr>
              <w:jc w:val="center"/>
              <w:rPr>
                <w:rFonts w:ascii="Verdana" w:hAnsi="Verdana"/>
                <w:color w:val="000000"/>
              </w:rPr>
            </w:pPr>
          </w:p>
          <w:p w14:paraId="1CF4627F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350,28</w:t>
            </w:r>
          </w:p>
        </w:tc>
      </w:tr>
      <w:tr w:rsidR="00756B45" w14:paraId="6C42612E" w14:textId="77777777">
        <w:trPr>
          <w:trHeight w:val="33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FEAF6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5D5AD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EMEIEF Ladir da Penha</w:t>
            </w:r>
          </w:p>
          <w:p w14:paraId="55B346DB" w14:textId="77777777" w:rsidR="00756B45" w:rsidRDefault="0000000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Endereço: Zona Rural, aproximadamente a 12km distante da Sede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226E2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174,27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A9873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74048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4339CF17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1BCA8365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1,77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F6B98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 xml:space="preserve"> 298,00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7F03" w14:textId="77777777" w:rsidR="00756B45" w:rsidRDefault="00756B45">
            <w:pPr>
              <w:jc w:val="center"/>
              <w:rPr>
                <w:rFonts w:ascii="Verdana" w:hAnsi="Verdana"/>
                <w:color w:val="000000"/>
              </w:rPr>
            </w:pPr>
          </w:p>
          <w:p w14:paraId="7B6852EE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616,92</w:t>
            </w:r>
          </w:p>
        </w:tc>
      </w:tr>
    </w:tbl>
    <w:p w14:paraId="49971121" w14:textId="77777777" w:rsidR="00756B45" w:rsidRDefault="00000000">
      <w:pPr>
        <w:shd w:val="clear" w:color="auto" w:fill="D9D9D9" w:themeFill="background1" w:themeFillShade="D9"/>
        <w:tabs>
          <w:tab w:val="left" w:pos="720"/>
          <w:tab w:val="left" w:pos="5985"/>
        </w:tabs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Soma Geral Total – Zona Rural (2 ciclos):  </w:t>
      </w:r>
    </w:p>
    <w:p w14:paraId="4378FCB9" w14:textId="77777777" w:rsidR="00756B45" w:rsidRDefault="00000000">
      <w:pPr>
        <w:shd w:val="clear" w:color="auto" w:fill="D9D9D9" w:themeFill="background1" w:themeFillShade="D9"/>
        <w:tabs>
          <w:tab w:val="left" w:pos="720"/>
          <w:tab w:val="left" w:pos="5985"/>
        </w:tabs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Área Total a ser atendida: 5.851,92 m²</w:t>
      </w:r>
    </w:p>
    <w:p w14:paraId="138427F7" w14:textId="77777777" w:rsidR="00756B45" w:rsidRDefault="00000000">
      <w:pPr>
        <w:shd w:val="clear" w:color="auto" w:fill="D9D9D9" w:themeFill="background1" w:themeFillShade="D9"/>
        <w:tabs>
          <w:tab w:val="left" w:pos="720"/>
          <w:tab w:val="left" w:pos="5985"/>
        </w:tabs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 Valor Total do serviço: R$ 10.357,90</w:t>
      </w:r>
    </w:p>
    <w:p w14:paraId="4FFDF1A4" w14:textId="77777777" w:rsidR="00756B45" w:rsidRDefault="00000000">
      <w:pPr>
        <w:pStyle w:val="NormalWeb"/>
        <w:shd w:val="clear" w:color="auto" w:fill="D9D9D9" w:themeFill="background1" w:themeFillShade="D9"/>
        <w:spacing w:beforeAutospacing="0" w:afterAutospacing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i/>
          <w:iCs/>
          <w:color w:val="000000" w:themeColor="text1"/>
          <w:sz w:val="20"/>
          <w:szCs w:val="20"/>
        </w:rPr>
        <w:t>*Valor base R$ 1,49 acrescido de 15% de fator logístico para atendimento rural.</w:t>
      </w:r>
    </w:p>
    <w:p w14:paraId="5C2C0249" w14:textId="77777777" w:rsidR="00756B45" w:rsidRDefault="00756B45">
      <w:pPr>
        <w:pStyle w:val="NormalWeb"/>
        <w:spacing w:beforeAutospacing="0" w:afterAutospacing="0"/>
        <w:rPr>
          <w:rFonts w:ascii="Verdana" w:hAnsi="Verdana"/>
          <w:b/>
          <w:i/>
          <w:iCs/>
          <w:color w:val="000000" w:themeColor="text1"/>
          <w:sz w:val="20"/>
          <w:szCs w:val="20"/>
        </w:rPr>
      </w:pPr>
    </w:p>
    <w:p w14:paraId="1F607EF7" w14:textId="77777777" w:rsidR="00756B45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TABELA 3:  RESUMO FINAL – MIP (ZONA URBANA + ZONA RURAL)</w:t>
      </w: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2126"/>
        <w:gridCol w:w="1397"/>
        <w:gridCol w:w="1475"/>
        <w:gridCol w:w="1524"/>
        <w:gridCol w:w="1415"/>
      </w:tblGrid>
      <w:tr w:rsidR="00756B45" w14:paraId="674700D7" w14:textId="77777777">
        <w:trPr>
          <w:trHeight w:val="27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39867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Zona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CFB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Nº de Unidades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22CC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Área Total m²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4CF3E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Intervenções</w:t>
            </w:r>
          </w:p>
          <w:p w14:paraId="40AF3CEA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p/Ano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0AA1D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Valor (R$) por m²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ACA7E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Valor Total (R$)</w:t>
            </w:r>
          </w:p>
        </w:tc>
      </w:tr>
      <w:tr w:rsidR="00756B45" w14:paraId="7387E816" w14:textId="77777777">
        <w:trPr>
          <w:trHeight w:val="269"/>
        </w:trPr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8135F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Urbana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BF722" w14:textId="77777777" w:rsidR="00756B45" w:rsidRDefault="00000000">
            <w:pPr>
              <w:rPr>
                <w:rFonts w:ascii="Verdana" w:hAnsi="Verdana"/>
              </w:rPr>
            </w:pPr>
            <w:proofErr w:type="gramStart"/>
            <w:r>
              <w:rPr>
                <w:rFonts w:ascii="Verdana" w:hAnsi="Verdana"/>
              </w:rPr>
              <w:t>16  Escolas</w:t>
            </w:r>
            <w:proofErr w:type="gramEnd"/>
            <w:r>
              <w:rPr>
                <w:rFonts w:ascii="Verdana" w:hAnsi="Verdana"/>
              </w:rPr>
              <w:t xml:space="preserve"> + Sede)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4A21A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31.388,74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B959E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7D88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1,54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7878C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48.340,29</w:t>
            </w:r>
          </w:p>
        </w:tc>
      </w:tr>
      <w:tr w:rsidR="00756B45" w14:paraId="261845C7" w14:textId="77777777">
        <w:trPr>
          <w:trHeight w:val="476"/>
        </w:trPr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F9937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Rural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5AB53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07 - Escolas</w:t>
            </w:r>
          </w:p>
        </w:tc>
        <w:tc>
          <w:tcPr>
            <w:tcW w:w="1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A488B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780E01F1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5.851,92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7582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1E41D8EA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B56EF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1CB2E512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1,77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A99A4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  <w:p w14:paraId="2FB4E19A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10.357,90</w:t>
            </w:r>
          </w:p>
          <w:p w14:paraId="493F8D30" w14:textId="77777777" w:rsidR="00756B45" w:rsidRDefault="00756B45">
            <w:pPr>
              <w:jc w:val="center"/>
              <w:rPr>
                <w:rFonts w:ascii="Verdana" w:hAnsi="Verdana"/>
              </w:rPr>
            </w:pPr>
          </w:p>
        </w:tc>
      </w:tr>
      <w:tr w:rsidR="00756B45" w14:paraId="56B932B1" w14:textId="77777777">
        <w:trPr>
          <w:trHeight w:val="269"/>
        </w:trPr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39A6E2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TOTAL GLOBAL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AC3D970" w14:textId="77777777" w:rsidR="00756B45" w:rsidRDefault="00000000">
            <w:pPr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23 UNIDADES</w:t>
            </w:r>
          </w:p>
        </w:tc>
        <w:tc>
          <w:tcPr>
            <w:tcW w:w="1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794D0A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37.240,66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68D710B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2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3688DE" w14:textId="77777777" w:rsidR="00756B45" w:rsidRDefault="00756B45">
            <w:pPr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2D6645" w14:textId="77777777" w:rsidR="00756B45" w:rsidRDefault="00000000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58.698,18</w:t>
            </w:r>
          </w:p>
        </w:tc>
      </w:tr>
    </w:tbl>
    <w:p w14:paraId="19DA9109" w14:textId="77777777" w:rsidR="00756B45" w:rsidRDefault="00756B45">
      <w:pPr>
        <w:suppressAutoHyphens w:val="0"/>
        <w:jc w:val="both"/>
        <w:rPr>
          <w:rFonts w:ascii="Verdana" w:hAnsi="Verdana"/>
          <w:b/>
        </w:rPr>
      </w:pPr>
    </w:p>
    <w:p w14:paraId="70FACCD9" w14:textId="77777777" w:rsidR="00756B45" w:rsidRDefault="00000000">
      <w:pPr>
        <w:pStyle w:val="Ttulo3"/>
        <w:rPr>
          <w:rFonts w:ascii="Verdana" w:hAnsi="Verdana"/>
        </w:rPr>
      </w:pPr>
      <w:r>
        <w:rPr>
          <w:rFonts w:ascii="Verdana" w:hAnsi="Verdana"/>
        </w:rPr>
        <w:t>11. Estimativa de Custos e Desembolso</w:t>
      </w:r>
    </w:p>
    <w:p w14:paraId="6091A514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 estimativa do valor da contratação foi obtida através de método comparativo de mercado, considerando as áreas físicas das unidades e a necessidade de </w:t>
      </w:r>
      <w:r>
        <w:rPr>
          <w:rFonts w:ascii="Verdana" w:hAnsi="Verdana"/>
          <w:b/>
          <w:bCs/>
          <w:sz w:val="20"/>
          <w:szCs w:val="20"/>
        </w:rPr>
        <w:t>02 (duas) aplicações anuais</w:t>
      </w:r>
      <w:r>
        <w:rPr>
          <w:rFonts w:ascii="Verdana" w:hAnsi="Verdana"/>
          <w:sz w:val="20"/>
          <w:szCs w:val="20"/>
        </w:rPr>
        <w:t xml:space="preserve"> (periodicidade semestral) para garantir a eficácia do Manejo Integrado de Pragas (MIP).</w:t>
      </w:r>
    </w:p>
    <w:p w14:paraId="4E76E108" w14:textId="77777777" w:rsidR="00756B45" w:rsidRDefault="00756B45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</w:p>
    <w:p w14:paraId="41A3D7E8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11.1. Memória de Cálculo e Projeção Financeira e Ciclo aplicação</w:t>
      </w:r>
    </w:p>
    <w:p w14:paraId="459EBD9E" w14:textId="77777777" w:rsidR="00756B45" w:rsidRDefault="00000000">
      <w:pPr>
        <w:pStyle w:val="Ttulo4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Tabela 1</w:t>
      </w:r>
    </w:p>
    <w:tbl>
      <w:tblPr>
        <w:tblStyle w:val="Tabelacomgrade"/>
        <w:tblW w:w="9918" w:type="dxa"/>
        <w:tblLayout w:type="fixed"/>
        <w:tblLook w:val="04A0" w:firstRow="1" w:lastRow="0" w:firstColumn="1" w:lastColumn="0" w:noHBand="0" w:noVBand="1"/>
      </w:tblPr>
      <w:tblGrid>
        <w:gridCol w:w="2335"/>
        <w:gridCol w:w="1536"/>
        <w:gridCol w:w="1809"/>
        <w:gridCol w:w="1203"/>
        <w:gridCol w:w="1476"/>
        <w:gridCol w:w="1559"/>
      </w:tblGrid>
      <w:tr w:rsidR="00756B45" w14:paraId="02A774A0" w14:textId="77777777">
        <w:tc>
          <w:tcPr>
            <w:tcW w:w="2334" w:type="dxa"/>
            <w:vAlign w:val="center"/>
          </w:tcPr>
          <w:p w14:paraId="75DD242C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b/>
                <w:bCs/>
                <w:color w:val="000000"/>
                <w:kern w:val="2"/>
                <w:lang w:eastAsia="pt-BR"/>
              </w:rPr>
              <w:t>Região</w:t>
            </w:r>
          </w:p>
        </w:tc>
        <w:tc>
          <w:tcPr>
            <w:tcW w:w="1536" w:type="dxa"/>
            <w:vAlign w:val="center"/>
          </w:tcPr>
          <w:p w14:paraId="3FC19AA7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b/>
                <w:bCs/>
                <w:color w:val="000000"/>
                <w:kern w:val="2"/>
                <w:lang w:eastAsia="pt-BR"/>
              </w:rPr>
              <w:t>Área Total Física (m²)</w:t>
            </w:r>
          </w:p>
        </w:tc>
        <w:tc>
          <w:tcPr>
            <w:tcW w:w="1809" w:type="dxa"/>
            <w:vAlign w:val="center"/>
          </w:tcPr>
          <w:p w14:paraId="0156DD73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b/>
                <w:bCs/>
                <w:color w:val="000000"/>
                <w:kern w:val="2"/>
                <w:lang w:eastAsia="pt-BR"/>
              </w:rPr>
              <w:t>Área de Aplicação Semestral (m²)</w:t>
            </w:r>
          </w:p>
        </w:tc>
        <w:tc>
          <w:tcPr>
            <w:tcW w:w="1203" w:type="dxa"/>
          </w:tcPr>
          <w:p w14:paraId="7C7A4403" w14:textId="77777777" w:rsidR="00756B45" w:rsidRDefault="00756B45">
            <w:pPr>
              <w:jc w:val="center"/>
              <w:rPr>
                <w:rFonts w:ascii="Verdana" w:eastAsia="Calibri" w:hAnsi="Verdana"/>
                <w:b/>
                <w:bCs/>
                <w:color w:val="000000"/>
                <w:kern w:val="2"/>
                <w:lang w:eastAsia="pt-BR"/>
              </w:rPr>
            </w:pPr>
          </w:p>
          <w:p w14:paraId="799032FB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b/>
                <w:bCs/>
                <w:color w:val="000000"/>
                <w:kern w:val="2"/>
                <w:lang w:eastAsia="pt-BR"/>
              </w:rPr>
              <w:t>Valor por m² (R$)</w:t>
            </w:r>
          </w:p>
        </w:tc>
        <w:tc>
          <w:tcPr>
            <w:tcW w:w="1476" w:type="dxa"/>
            <w:vAlign w:val="center"/>
          </w:tcPr>
          <w:p w14:paraId="2C00B15C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b/>
                <w:bCs/>
                <w:color w:val="000000"/>
                <w:kern w:val="2"/>
                <w:lang w:eastAsia="pt-BR"/>
              </w:rPr>
              <w:t>Desembolso Semestral (R$)</w:t>
            </w:r>
          </w:p>
        </w:tc>
        <w:tc>
          <w:tcPr>
            <w:tcW w:w="1559" w:type="dxa"/>
            <w:vAlign w:val="center"/>
          </w:tcPr>
          <w:p w14:paraId="31A0D8BC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b/>
                <w:bCs/>
                <w:color w:val="000000"/>
                <w:kern w:val="2"/>
                <w:lang w:eastAsia="pt-BR"/>
              </w:rPr>
              <w:t>Estimativa Total Anual (R$)</w:t>
            </w:r>
          </w:p>
        </w:tc>
      </w:tr>
      <w:tr w:rsidR="00756B45" w14:paraId="2AD6A7B2" w14:textId="77777777">
        <w:tc>
          <w:tcPr>
            <w:tcW w:w="2334" w:type="dxa"/>
            <w:vAlign w:val="center"/>
          </w:tcPr>
          <w:p w14:paraId="6D31C6CF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b/>
                <w:bCs/>
                <w:color w:val="000000"/>
                <w:kern w:val="2"/>
                <w:lang w:eastAsia="pt-BR"/>
              </w:rPr>
              <w:t>Zona Urbana</w:t>
            </w:r>
          </w:p>
        </w:tc>
        <w:tc>
          <w:tcPr>
            <w:tcW w:w="1536" w:type="dxa"/>
            <w:vAlign w:val="center"/>
          </w:tcPr>
          <w:p w14:paraId="29A4E53E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kern w:val="2"/>
              </w:rPr>
              <w:t xml:space="preserve"> 31.388,74</w:t>
            </w:r>
          </w:p>
        </w:tc>
        <w:tc>
          <w:tcPr>
            <w:tcW w:w="1809" w:type="dxa"/>
            <w:vAlign w:val="center"/>
          </w:tcPr>
          <w:p w14:paraId="35FB579C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b/>
                <w:bCs/>
                <w:color w:val="000000"/>
                <w:kern w:val="2"/>
                <w:lang w:eastAsia="pt-BR"/>
              </w:rPr>
              <w:t>15.694,37</w:t>
            </w:r>
          </w:p>
        </w:tc>
        <w:tc>
          <w:tcPr>
            <w:tcW w:w="1203" w:type="dxa"/>
          </w:tcPr>
          <w:p w14:paraId="065CDE95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color w:val="000000"/>
                <w:kern w:val="2"/>
                <w:lang w:eastAsia="pt-BR"/>
              </w:rPr>
              <w:t>1,54</w:t>
            </w:r>
          </w:p>
        </w:tc>
        <w:tc>
          <w:tcPr>
            <w:tcW w:w="1476" w:type="dxa"/>
            <w:vAlign w:val="center"/>
          </w:tcPr>
          <w:p w14:paraId="33D3A49D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color w:val="000000"/>
                <w:kern w:val="2"/>
                <w:lang w:eastAsia="pt-BR"/>
              </w:rPr>
              <w:t>R$24.170,15</w:t>
            </w:r>
          </w:p>
        </w:tc>
        <w:tc>
          <w:tcPr>
            <w:tcW w:w="1559" w:type="dxa"/>
            <w:vAlign w:val="center"/>
          </w:tcPr>
          <w:p w14:paraId="595EF480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b/>
                <w:bCs/>
                <w:color w:val="000000"/>
                <w:kern w:val="2"/>
                <w:lang w:eastAsia="pt-BR"/>
              </w:rPr>
              <w:t>R$ 48.340.29</w:t>
            </w:r>
          </w:p>
        </w:tc>
      </w:tr>
      <w:tr w:rsidR="00756B45" w14:paraId="096F4850" w14:textId="77777777">
        <w:tc>
          <w:tcPr>
            <w:tcW w:w="2334" w:type="dxa"/>
            <w:vAlign w:val="center"/>
          </w:tcPr>
          <w:p w14:paraId="07EC1F4D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b/>
                <w:bCs/>
                <w:color w:val="000000"/>
                <w:kern w:val="2"/>
                <w:lang w:eastAsia="pt-BR"/>
              </w:rPr>
              <w:t>Zona Rural</w:t>
            </w:r>
          </w:p>
        </w:tc>
        <w:tc>
          <w:tcPr>
            <w:tcW w:w="1536" w:type="dxa"/>
            <w:vAlign w:val="center"/>
          </w:tcPr>
          <w:p w14:paraId="087972F7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color w:val="000000"/>
                <w:kern w:val="2"/>
                <w:lang w:eastAsia="pt-BR"/>
              </w:rPr>
              <w:t xml:space="preserve">  5.851,92</w:t>
            </w:r>
          </w:p>
        </w:tc>
        <w:tc>
          <w:tcPr>
            <w:tcW w:w="1809" w:type="dxa"/>
            <w:vAlign w:val="center"/>
          </w:tcPr>
          <w:p w14:paraId="363C24BB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b/>
                <w:bCs/>
                <w:color w:val="000000"/>
                <w:kern w:val="2"/>
                <w:lang w:eastAsia="pt-BR"/>
              </w:rPr>
              <w:t xml:space="preserve"> 2.925,96</w:t>
            </w:r>
          </w:p>
        </w:tc>
        <w:tc>
          <w:tcPr>
            <w:tcW w:w="1203" w:type="dxa"/>
          </w:tcPr>
          <w:p w14:paraId="3C59D9D9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color w:val="000000"/>
                <w:kern w:val="2"/>
                <w:lang w:eastAsia="pt-BR"/>
              </w:rPr>
              <w:t>1,77</w:t>
            </w:r>
          </w:p>
        </w:tc>
        <w:tc>
          <w:tcPr>
            <w:tcW w:w="1476" w:type="dxa"/>
            <w:vAlign w:val="center"/>
          </w:tcPr>
          <w:p w14:paraId="5E073159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color w:val="000000"/>
                <w:kern w:val="2"/>
                <w:lang w:eastAsia="pt-BR"/>
              </w:rPr>
              <w:t>R$ 5.178,95</w:t>
            </w:r>
          </w:p>
        </w:tc>
        <w:tc>
          <w:tcPr>
            <w:tcW w:w="1559" w:type="dxa"/>
            <w:vAlign w:val="center"/>
          </w:tcPr>
          <w:p w14:paraId="54FD032A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b/>
                <w:bCs/>
                <w:color w:val="000000"/>
                <w:kern w:val="2"/>
                <w:lang w:eastAsia="pt-BR"/>
              </w:rPr>
              <w:t>R$ 10.357,90</w:t>
            </w:r>
          </w:p>
        </w:tc>
      </w:tr>
      <w:tr w:rsidR="00756B45" w14:paraId="4C16ECEC" w14:textId="77777777">
        <w:tc>
          <w:tcPr>
            <w:tcW w:w="2334" w:type="dxa"/>
            <w:vAlign w:val="center"/>
          </w:tcPr>
          <w:p w14:paraId="0D35E7AD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b/>
                <w:bCs/>
                <w:color w:val="000000"/>
                <w:kern w:val="2"/>
                <w:lang w:eastAsia="pt-BR"/>
              </w:rPr>
              <w:t>TOTAIS</w:t>
            </w:r>
          </w:p>
        </w:tc>
        <w:tc>
          <w:tcPr>
            <w:tcW w:w="1536" w:type="dxa"/>
            <w:vAlign w:val="center"/>
          </w:tcPr>
          <w:p w14:paraId="68059DAE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b/>
                <w:bCs/>
                <w:color w:val="000000"/>
                <w:kern w:val="2"/>
                <w:lang w:eastAsia="pt-BR"/>
              </w:rPr>
              <w:t>37.240,66</w:t>
            </w:r>
          </w:p>
        </w:tc>
        <w:tc>
          <w:tcPr>
            <w:tcW w:w="1809" w:type="dxa"/>
            <w:vAlign w:val="center"/>
          </w:tcPr>
          <w:p w14:paraId="3A7F0124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b/>
                <w:bCs/>
                <w:color w:val="000000"/>
                <w:kern w:val="2"/>
                <w:lang w:eastAsia="pt-BR"/>
              </w:rPr>
              <w:t>18.620,33</w:t>
            </w:r>
          </w:p>
        </w:tc>
        <w:tc>
          <w:tcPr>
            <w:tcW w:w="1203" w:type="dxa"/>
          </w:tcPr>
          <w:p w14:paraId="355B8F41" w14:textId="77777777" w:rsidR="00756B45" w:rsidRDefault="00756B45">
            <w:pPr>
              <w:rPr>
                <w:rFonts w:ascii="Verdana" w:eastAsia="Calibri" w:hAnsi="Verdana"/>
                <w:kern w:val="2"/>
              </w:rPr>
            </w:pPr>
          </w:p>
        </w:tc>
        <w:tc>
          <w:tcPr>
            <w:tcW w:w="1476" w:type="dxa"/>
            <w:vAlign w:val="center"/>
          </w:tcPr>
          <w:p w14:paraId="14938DE7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b/>
                <w:bCs/>
                <w:color w:val="000000"/>
                <w:kern w:val="2"/>
                <w:lang w:eastAsia="pt-BR"/>
              </w:rPr>
              <w:t>R$ 29.349,10</w:t>
            </w:r>
          </w:p>
        </w:tc>
        <w:tc>
          <w:tcPr>
            <w:tcW w:w="1559" w:type="dxa"/>
            <w:vAlign w:val="bottom"/>
          </w:tcPr>
          <w:p w14:paraId="7BB78FDC" w14:textId="77777777" w:rsidR="00756B45" w:rsidRDefault="00000000">
            <w:pPr>
              <w:rPr>
                <w:rFonts w:ascii="Verdana" w:eastAsia="Calibri" w:hAnsi="Verdana" w:cs="SimSun"/>
                <w:kern w:val="2"/>
              </w:rPr>
            </w:pPr>
            <w:r>
              <w:rPr>
                <w:rFonts w:ascii="Verdana" w:eastAsia="Calibri" w:hAnsi="Verdana"/>
                <w:b/>
                <w:color w:val="000000"/>
                <w:kern w:val="2"/>
                <w:lang w:eastAsia="pt-BR"/>
              </w:rPr>
              <w:t>R$ 58.698,18</w:t>
            </w:r>
          </w:p>
        </w:tc>
      </w:tr>
    </w:tbl>
    <w:p w14:paraId="268BF945" w14:textId="77777777" w:rsidR="00756B45" w:rsidRDefault="00756B45">
      <w:pPr>
        <w:rPr>
          <w:rFonts w:ascii="Verdana" w:hAnsi="Verdana"/>
        </w:rPr>
      </w:pPr>
    </w:p>
    <w:p w14:paraId="62E6963E" w14:textId="77777777" w:rsidR="00756B45" w:rsidRDefault="00000000">
      <w:pPr>
        <w:rPr>
          <w:rFonts w:ascii="Verdana" w:hAnsi="Verdana"/>
        </w:rPr>
      </w:pPr>
      <w:r>
        <w:rPr>
          <w:rFonts w:ascii="Verdana" w:hAnsi="Verdana"/>
          <w:b/>
        </w:rPr>
        <w:t>Tabela 2</w:t>
      </w:r>
    </w:p>
    <w:tbl>
      <w:tblPr>
        <w:tblW w:w="10065" w:type="dxa"/>
        <w:tblInd w:w="-1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2332"/>
        <w:gridCol w:w="2460"/>
        <w:gridCol w:w="3005"/>
      </w:tblGrid>
      <w:tr w:rsidR="00756B45" w14:paraId="5EED4D57" w14:textId="77777777">
        <w:trPr>
          <w:trHeight w:val="315"/>
        </w:trPr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1EC1FB" w14:textId="77777777" w:rsidR="00756B45" w:rsidRDefault="00000000">
            <w:pPr>
              <w:suppressAutoHyphens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  <w:lang w:eastAsia="pt-BR"/>
              </w:rPr>
              <w:t>Ciclo de Aplicação</w:t>
            </w:r>
          </w:p>
        </w:tc>
        <w:tc>
          <w:tcPr>
            <w:tcW w:w="23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04A4E3" w14:textId="77777777" w:rsidR="00756B45" w:rsidRDefault="00000000">
            <w:pPr>
              <w:suppressAutoHyphens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  <w:lang w:eastAsia="pt-BR"/>
              </w:rPr>
              <w:t>Periodicidade</w:t>
            </w:r>
          </w:p>
        </w:tc>
        <w:tc>
          <w:tcPr>
            <w:tcW w:w="24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363EC0" w14:textId="77777777" w:rsidR="00756B45" w:rsidRDefault="00000000">
            <w:pPr>
              <w:suppressAutoHyphens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  <w:lang w:eastAsia="pt-BR"/>
              </w:rPr>
              <w:t>Abrangência</w:t>
            </w:r>
          </w:p>
        </w:tc>
        <w:tc>
          <w:tcPr>
            <w:tcW w:w="30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1244FC" w14:textId="77777777" w:rsidR="00756B45" w:rsidRDefault="00000000">
            <w:pPr>
              <w:suppressAutoHyphens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  <w:lang w:eastAsia="pt-BR"/>
              </w:rPr>
              <w:t>Meta de Execução</w:t>
            </w:r>
          </w:p>
        </w:tc>
      </w:tr>
      <w:tr w:rsidR="00756B45" w14:paraId="3592A474" w14:textId="77777777">
        <w:trPr>
          <w:trHeight w:val="390"/>
        </w:trPr>
        <w:tc>
          <w:tcPr>
            <w:tcW w:w="22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BCDB9F" w14:textId="77777777" w:rsidR="00756B45" w:rsidRDefault="00000000">
            <w:pPr>
              <w:suppressAutoHyphens w:val="0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  <w:lang w:eastAsia="pt-BR"/>
              </w:rPr>
              <w:t>1º Ciclo</w:t>
            </w:r>
          </w:p>
        </w:tc>
        <w:tc>
          <w:tcPr>
            <w:tcW w:w="233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8423481" w14:textId="77777777" w:rsidR="00756B45" w:rsidRDefault="00000000">
            <w:pPr>
              <w:suppressAutoHyphens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  <w:lang w:eastAsia="pt-BR"/>
              </w:rPr>
              <w:t>1º Semestre</w:t>
            </w:r>
          </w:p>
        </w:tc>
        <w:tc>
          <w:tcPr>
            <w:tcW w:w="246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EE53F96" w14:textId="77777777" w:rsidR="00756B45" w:rsidRDefault="00000000">
            <w:pPr>
              <w:suppressAutoHyphens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  <w:lang w:eastAsia="pt-BR"/>
              </w:rPr>
              <w:t>100% das Unidades</w:t>
            </w:r>
          </w:p>
        </w:tc>
        <w:tc>
          <w:tcPr>
            <w:tcW w:w="300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BC527BF" w14:textId="77777777" w:rsidR="00756B45" w:rsidRDefault="00000000">
            <w:pPr>
              <w:suppressAutoHyphens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  <w:lang w:eastAsia="pt-BR"/>
              </w:rPr>
              <w:t>18.620,33 m²</w:t>
            </w:r>
          </w:p>
        </w:tc>
      </w:tr>
      <w:tr w:rsidR="00756B45" w14:paraId="59575F6B" w14:textId="77777777">
        <w:trPr>
          <w:trHeight w:val="360"/>
        </w:trPr>
        <w:tc>
          <w:tcPr>
            <w:tcW w:w="22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BBB65A" w14:textId="77777777" w:rsidR="00756B45" w:rsidRDefault="00000000">
            <w:pPr>
              <w:suppressAutoHyphens w:val="0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  <w:lang w:eastAsia="pt-BR"/>
              </w:rPr>
              <w:t>2º Ciclo</w:t>
            </w:r>
          </w:p>
        </w:tc>
        <w:tc>
          <w:tcPr>
            <w:tcW w:w="233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D4F8E16" w14:textId="77777777" w:rsidR="00756B45" w:rsidRDefault="00000000">
            <w:pPr>
              <w:suppressAutoHyphens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  <w:lang w:eastAsia="pt-BR"/>
              </w:rPr>
              <w:t>2º Semestre</w:t>
            </w:r>
          </w:p>
        </w:tc>
        <w:tc>
          <w:tcPr>
            <w:tcW w:w="246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00AB158" w14:textId="77777777" w:rsidR="00756B45" w:rsidRDefault="00000000">
            <w:pPr>
              <w:suppressAutoHyphens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  <w:lang w:eastAsia="pt-BR"/>
              </w:rPr>
              <w:t>100% das Unidades</w:t>
            </w:r>
          </w:p>
        </w:tc>
        <w:tc>
          <w:tcPr>
            <w:tcW w:w="300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5423E29" w14:textId="77777777" w:rsidR="00756B45" w:rsidRDefault="00000000">
            <w:pPr>
              <w:suppressAutoHyphens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  <w:lang w:eastAsia="pt-BR"/>
              </w:rPr>
              <w:t>18.620,33 m²</w:t>
            </w:r>
          </w:p>
        </w:tc>
      </w:tr>
      <w:tr w:rsidR="00756B45" w14:paraId="75B5BFA4" w14:textId="77777777">
        <w:trPr>
          <w:trHeight w:val="300"/>
        </w:trPr>
        <w:tc>
          <w:tcPr>
            <w:tcW w:w="22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F47260" w14:textId="77777777" w:rsidR="00756B45" w:rsidRDefault="00000000">
            <w:pPr>
              <w:suppressAutoHyphens w:val="0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  <w:lang w:eastAsia="pt-BR"/>
              </w:rPr>
              <w:t>TOTAL ANUAL</w:t>
            </w:r>
          </w:p>
        </w:tc>
        <w:tc>
          <w:tcPr>
            <w:tcW w:w="233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7D492EF" w14:textId="77777777" w:rsidR="00756B45" w:rsidRDefault="00000000">
            <w:pPr>
              <w:suppressAutoHyphens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  <w:lang w:eastAsia="pt-BR"/>
              </w:rPr>
              <w:t>Anual</w:t>
            </w:r>
          </w:p>
        </w:tc>
        <w:tc>
          <w:tcPr>
            <w:tcW w:w="246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115AE4B" w14:textId="77777777" w:rsidR="00756B45" w:rsidRDefault="00000000">
            <w:pPr>
              <w:suppressAutoHyphens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  <w:lang w:eastAsia="pt-BR"/>
              </w:rPr>
              <w:t>--</w:t>
            </w:r>
          </w:p>
        </w:tc>
        <w:tc>
          <w:tcPr>
            <w:tcW w:w="300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7CC5A6B" w14:textId="77777777" w:rsidR="00756B45" w:rsidRDefault="00000000">
            <w:pPr>
              <w:suppressAutoHyphens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  <w:lang w:eastAsia="pt-BR"/>
              </w:rPr>
              <w:t>37.240,66 m²</w:t>
            </w:r>
          </w:p>
        </w:tc>
      </w:tr>
    </w:tbl>
    <w:p w14:paraId="5885F1AF" w14:textId="77777777" w:rsidR="00756B45" w:rsidRDefault="00756B45">
      <w:pPr>
        <w:pStyle w:val="Ttulo4"/>
        <w:rPr>
          <w:rFonts w:ascii="Verdana" w:hAnsi="Verdana"/>
          <w:color w:val="000000" w:themeColor="text1"/>
          <w:sz w:val="20"/>
        </w:rPr>
      </w:pPr>
    </w:p>
    <w:p w14:paraId="2595B133" w14:textId="77777777" w:rsidR="00756B45" w:rsidRDefault="00000000">
      <w:pPr>
        <w:pStyle w:val="NormalWeb"/>
        <w:spacing w:beforeAutospacing="0" w:afterAutospacing="0"/>
        <w:ind w:left="-284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11.2. Cronograma de Desembolso Semestral (Estimado).</w:t>
      </w:r>
    </w:p>
    <w:p w14:paraId="7ABBB735" w14:textId="77777777" w:rsidR="00756B45" w:rsidRDefault="00000000">
      <w:pPr>
        <w:pStyle w:val="NormalWeb"/>
        <w:spacing w:beforeAutospacing="0" w:afterAutospacing="0"/>
        <w:ind w:left="-284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Os pagamentos serão efetuados por ciclo de aplicação devidamente atestado pela fiscalização.</w:t>
      </w:r>
    </w:p>
    <w:p w14:paraId="0E70699D" w14:textId="77777777" w:rsidR="00756B45" w:rsidRDefault="00000000">
      <w:pPr>
        <w:pStyle w:val="NormalWeb"/>
        <w:numPr>
          <w:ilvl w:val="0"/>
          <w:numId w:val="14"/>
        </w:numPr>
        <w:spacing w:beforeAutospacing="0" w:afterAutospacing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 w:themeColor="text1"/>
          <w:sz w:val="20"/>
          <w:szCs w:val="20"/>
        </w:rPr>
        <w:t>1º Ciclo (1ª Aplicação Geral):</w:t>
      </w:r>
      <w:r>
        <w:rPr>
          <w:rFonts w:ascii="Verdana" w:hAnsi="Verdana"/>
          <w:color w:val="000000" w:themeColor="text1"/>
          <w:sz w:val="20"/>
          <w:szCs w:val="20"/>
        </w:rPr>
        <w:t xml:space="preserve"> R$ 29.349,09, que corresponde a (</w:t>
      </w:r>
      <w:r>
        <w:rPr>
          <w:rFonts w:ascii="Verdana" w:hAnsi="Verdana"/>
          <w:color w:val="000000"/>
          <w:sz w:val="20"/>
          <w:szCs w:val="20"/>
        </w:rPr>
        <w:t>18.620,33 m²).</w:t>
      </w:r>
    </w:p>
    <w:p w14:paraId="09905B2B" w14:textId="77777777" w:rsidR="00756B45" w:rsidRDefault="00000000">
      <w:pPr>
        <w:pStyle w:val="NormalWeb"/>
        <w:numPr>
          <w:ilvl w:val="0"/>
          <w:numId w:val="1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 w:themeColor="text1"/>
          <w:sz w:val="20"/>
          <w:szCs w:val="20"/>
        </w:rPr>
        <w:t>2º Ciclo (2ª Aplicação Geral):</w:t>
      </w:r>
      <w:r>
        <w:rPr>
          <w:rFonts w:ascii="Verdana" w:hAnsi="Verdana"/>
          <w:color w:val="000000" w:themeColor="text1"/>
          <w:sz w:val="20"/>
          <w:szCs w:val="20"/>
        </w:rPr>
        <w:t xml:space="preserve"> R$ 29.349,09, que corresponde a (</w:t>
      </w:r>
      <w:r>
        <w:rPr>
          <w:rFonts w:ascii="Verdana" w:hAnsi="Verdana"/>
          <w:color w:val="000000"/>
          <w:sz w:val="20"/>
          <w:szCs w:val="20"/>
        </w:rPr>
        <w:t>18.620,33 m²).</w:t>
      </w:r>
    </w:p>
    <w:p w14:paraId="02063DC4" w14:textId="77777777" w:rsidR="00756B45" w:rsidRDefault="00000000">
      <w:pPr>
        <w:pStyle w:val="NormalWeb"/>
        <w:numPr>
          <w:ilvl w:val="0"/>
          <w:numId w:val="14"/>
        </w:numPr>
        <w:spacing w:beforeAutospacing="0" w:afterAutospacing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 w:themeColor="text1"/>
          <w:sz w:val="20"/>
          <w:szCs w:val="20"/>
        </w:rPr>
        <w:t>VALOR GLOBAL ESTIMADO:</w:t>
      </w:r>
      <w:r>
        <w:rPr>
          <w:rFonts w:ascii="Verdana" w:hAnsi="Verdana"/>
          <w:color w:val="000000" w:themeColor="text1"/>
          <w:sz w:val="20"/>
          <w:szCs w:val="20"/>
        </w:rPr>
        <w:t xml:space="preserve"> </w:t>
      </w:r>
      <w:r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R$ </w:t>
      </w:r>
      <w:r>
        <w:rPr>
          <w:rFonts w:ascii="Verdana" w:hAnsi="Verdana"/>
          <w:b/>
          <w:color w:val="000000"/>
          <w:sz w:val="20"/>
          <w:szCs w:val="20"/>
        </w:rPr>
        <w:t>58.698,18</w:t>
      </w:r>
      <w:r>
        <w:rPr>
          <w:rFonts w:ascii="Verdana" w:hAnsi="Verdana"/>
          <w:color w:val="000000" w:themeColor="text1"/>
          <w:sz w:val="20"/>
          <w:szCs w:val="20"/>
        </w:rPr>
        <w:t xml:space="preserve"> (cinquenta e oito mil, seiscentos e noventa e oito reais e dezoito centavos).</w:t>
      </w:r>
    </w:p>
    <w:p w14:paraId="447C4412" w14:textId="77777777" w:rsidR="00756B45" w:rsidRDefault="00756B45">
      <w:pPr>
        <w:pStyle w:val="NormalWeb"/>
        <w:spacing w:beforeAutospacing="0" w:afterAutospacing="0"/>
        <w:ind w:left="720"/>
        <w:rPr>
          <w:rFonts w:ascii="Verdana" w:hAnsi="Verdana"/>
          <w:color w:val="000000" w:themeColor="text1"/>
          <w:sz w:val="20"/>
          <w:szCs w:val="20"/>
        </w:rPr>
      </w:pPr>
    </w:p>
    <w:p w14:paraId="6E4C4566" w14:textId="77777777" w:rsidR="00756B45" w:rsidRDefault="00000000">
      <w:pPr>
        <w:pStyle w:val="Ttulo4"/>
        <w:rPr>
          <w:rFonts w:ascii="Verdana" w:hAnsi="Verdana"/>
          <w:sz w:val="20"/>
        </w:rPr>
      </w:pPr>
      <w:r>
        <w:rPr>
          <w:rFonts w:ascii="Verdana" w:hAnsi="Verdana"/>
          <w:b/>
          <w:color w:val="000000" w:themeColor="text1"/>
          <w:sz w:val="20"/>
        </w:rPr>
        <w:t>11.3. Justificativa do Coeficiente Rural e Fator Logístico</w:t>
      </w:r>
    </w:p>
    <w:p w14:paraId="7F0F493F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Para as unidades da </w:t>
      </w:r>
      <w:r>
        <w:rPr>
          <w:rFonts w:ascii="Verdana" w:hAnsi="Verdana"/>
          <w:b/>
          <w:bCs/>
          <w:color w:val="000000" w:themeColor="text1"/>
          <w:sz w:val="20"/>
          <w:szCs w:val="20"/>
        </w:rPr>
        <w:t>Zona Rural</w:t>
      </w:r>
      <w:r>
        <w:rPr>
          <w:rFonts w:ascii="Verdana" w:hAnsi="Verdana"/>
          <w:color w:val="000000" w:themeColor="text1"/>
          <w:sz w:val="20"/>
          <w:szCs w:val="20"/>
        </w:rPr>
        <w:t xml:space="preserve">, o valor de referência foi fixado em </w:t>
      </w:r>
      <w:r>
        <w:rPr>
          <w:rFonts w:ascii="Verdana" w:hAnsi="Verdana"/>
          <w:b/>
          <w:bCs/>
          <w:color w:val="000000" w:themeColor="text1"/>
          <w:sz w:val="20"/>
          <w:szCs w:val="20"/>
        </w:rPr>
        <w:t>R$ 1,77/m²</w:t>
      </w:r>
      <w:r>
        <w:rPr>
          <w:rFonts w:ascii="Verdana" w:hAnsi="Verdana"/>
          <w:color w:val="000000" w:themeColor="text1"/>
          <w:sz w:val="20"/>
          <w:szCs w:val="20"/>
        </w:rPr>
        <w:t xml:space="preserve">. Este montante decorre da aplicação de um coeficiente de </w:t>
      </w:r>
      <w:r>
        <w:rPr>
          <w:rFonts w:ascii="Verdana" w:hAnsi="Verdana"/>
          <w:b/>
          <w:bCs/>
          <w:color w:val="000000" w:themeColor="text1"/>
          <w:sz w:val="20"/>
          <w:szCs w:val="20"/>
        </w:rPr>
        <w:t>15% (fator de deslocamento)</w:t>
      </w:r>
      <w:r>
        <w:rPr>
          <w:rFonts w:ascii="Verdana" w:hAnsi="Verdana"/>
          <w:color w:val="000000" w:themeColor="text1"/>
          <w:sz w:val="20"/>
          <w:szCs w:val="20"/>
        </w:rPr>
        <w:t xml:space="preserve"> sobre o valor base da zona urbana (R$ 1,54).</w:t>
      </w:r>
    </w:p>
    <w:p w14:paraId="0879E502" w14:textId="77777777" w:rsidR="00756B45" w:rsidRDefault="00756B45">
      <w:pPr>
        <w:pStyle w:val="NormalWeb"/>
        <w:spacing w:beforeAutospacing="0" w:afterAutospacing="0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47533F97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A diferenciação é tecnicamente indispensável para cobrir custos indiretos de logística, combustível e tempo de trânsito das equipes para locais situados a até </w:t>
      </w:r>
      <w:r>
        <w:rPr>
          <w:rFonts w:ascii="Verdana" w:hAnsi="Verdana"/>
          <w:b/>
          <w:bCs/>
          <w:color w:val="000000" w:themeColor="text1"/>
          <w:sz w:val="20"/>
          <w:szCs w:val="20"/>
        </w:rPr>
        <w:t>35 km da sede</w:t>
      </w:r>
      <w:r>
        <w:rPr>
          <w:rFonts w:ascii="Verdana" w:hAnsi="Verdana"/>
          <w:color w:val="000000" w:themeColor="text1"/>
          <w:sz w:val="20"/>
          <w:szCs w:val="20"/>
        </w:rPr>
        <w:t xml:space="preserve">. Tal metodologia assegura a exequibilidade das propostas e previne riscos de inexecução contratual, em estrita observância ao </w:t>
      </w:r>
      <w:r>
        <w:rPr>
          <w:rFonts w:ascii="Verdana" w:hAnsi="Verdana"/>
          <w:b/>
          <w:bCs/>
          <w:color w:val="000000" w:themeColor="text1"/>
          <w:sz w:val="20"/>
          <w:szCs w:val="20"/>
        </w:rPr>
        <w:t>Art. 18, §1º, inciso XI, da Lei nº 14.133/2021</w:t>
      </w:r>
      <w:r>
        <w:rPr>
          <w:rFonts w:ascii="Verdana" w:hAnsi="Verdana"/>
          <w:b/>
          <w:color w:val="000000" w:themeColor="text1"/>
          <w:sz w:val="20"/>
          <w:szCs w:val="20"/>
        </w:rPr>
        <w:t>.</w:t>
      </w:r>
    </w:p>
    <w:p w14:paraId="5FBB50BB" w14:textId="77777777" w:rsidR="00756B45" w:rsidRDefault="00756B45">
      <w:pPr>
        <w:pStyle w:val="NormalWeb"/>
        <w:spacing w:beforeAutospacing="0" w:afterAutospacing="0"/>
        <w:jc w:val="both"/>
        <w:rPr>
          <w:rFonts w:ascii="Verdana" w:hAnsi="Verdana"/>
          <w:b/>
          <w:color w:val="000000" w:themeColor="text1"/>
          <w:sz w:val="20"/>
          <w:szCs w:val="20"/>
        </w:rPr>
      </w:pPr>
    </w:p>
    <w:p w14:paraId="3014FDB6" w14:textId="77777777" w:rsidR="00756B45" w:rsidRDefault="00000000">
      <w:pPr>
        <w:pStyle w:val="Ttulo4"/>
        <w:rPr>
          <w:rFonts w:ascii="Verdana" w:hAnsi="Verdana"/>
          <w:sz w:val="20"/>
        </w:rPr>
      </w:pPr>
      <w:r>
        <w:rPr>
          <w:rFonts w:ascii="Verdana" w:hAnsi="Verdana"/>
          <w:b/>
          <w:color w:val="000000" w:themeColor="text1"/>
          <w:sz w:val="20"/>
        </w:rPr>
        <w:lastRenderedPageBreak/>
        <w:t>11.4. Nota Explicativa – Metodologia da Pesquisa</w:t>
      </w:r>
    </w:p>
    <w:p w14:paraId="3055F88C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A pesquisa de preços, conduzida pelo servidor </w:t>
      </w:r>
      <w:r>
        <w:rPr>
          <w:rFonts w:ascii="Verdana" w:hAnsi="Verdana"/>
          <w:b/>
          <w:bCs/>
          <w:color w:val="000000" w:themeColor="text1"/>
          <w:sz w:val="20"/>
          <w:szCs w:val="20"/>
        </w:rPr>
        <w:t>João Batista Antunes de Paulo (Matrícula nº 9.736)</w:t>
      </w:r>
      <w:r>
        <w:rPr>
          <w:rFonts w:ascii="Verdana" w:hAnsi="Verdana"/>
          <w:color w:val="000000" w:themeColor="text1"/>
          <w:sz w:val="20"/>
          <w:szCs w:val="20"/>
        </w:rPr>
        <w:t xml:space="preserve">, considerou o contrato vigente (Dedetizadora Casa Limpa Ltda) como parâmetro de referência de mercado, em conjunto com a </w:t>
      </w:r>
      <w:r>
        <w:rPr>
          <w:rFonts w:ascii="Verdana" w:hAnsi="Verdana"/>
          <w:b/>
          <w:bCs/>
          <w:color w:val="000000" w:themeColor="text1"/>
          <w:sz w:val="20"/>
          <w:szCs w:val="20"/>
        </w:rPr>
        <w:t>Ata de Registro de Preços nº 001/2025 da CIM Noroeste</w:t>
      </w:r>
      <w:r>
        <w:rPr>
          <w:rFonts w:ascii="Verdana" w:hAnsi="Verdana"/>
          <w:color w:val="000000" w:themeColor="text1"/>
          <w:sz w:val="20"/>
          <w:szCs w:val="20"/>
        </w:rPr>
        <w:t xml:space="preserve"> e pesquisas em portais oficiais (PNCP).</w:t>
      </w:r>
    </w:p>
    <w:p w14:paraId="6D2CECFF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O levantamento garante a rastreabilidade e a transparência na estimativa, em conformidade com os </w:t>
      </w:r>
      <w:r>
        <w:rPr>
          <w:rFonts w:ascii="Verdana" w:hAnsi="Verdana"/>
          <w:b/>
          <w:bCs/>
          <w:color w:val="000000" w:themeColor="text1"/>
          <w:sz w:val="20"/>
          <w:szCs w:val="20"/>
        </w:rPr>
        <w:t>Arts. 17, 18, 74 e 75 da Lei nº 14.133/2021</w:t>
      </w:r>
      <w:r>
        <w:rPr>
          <w:rFonts w:ascii="Verdana" w:hAnsi="Verdana"/>
          <w:color w:val="000000" w:themeColor="text1"/>
          <w:sz w:val="20"/>
          <w:szCs w:val="20"/>
        </w:rPr>
        <w:t xml:space="preserve"> e a </w:t>
      </w:r>
      <w:r>
        <w:rPr>
          <w:rFonts w:ascii="Verdana" w:hAnsi="Verdana"/>
          <w:b/>
          <w:bCs/>
          <w:color w:val="000000" w:themeColor="text1"/>
          <w:sz w:val="20"/>
          <w:szCs w:val="20"/>
        </w:rPr>
        <w:t>Instrução Normativa SEGES/ME nº 65/2021</w:t>
      </w:r>
      <w:r>
        <w:rPr>
          <w:rFonts w:ascii="Verdana" w:hAnsi="Verdana"/>
          <w:color w:val="000000" w:themeColor="text1"/>
          <w:sz w:val="20"/>
          <w:szCs w:val="20"/>
        </w:rPr>
        <w:t>.</w:t>
      </w:r>
    </w:p>
    <w:p w14:paraId="6F8CE02E" w14:textId="77777777" w:rsidR="00756B45" w:rsidRDefault="00756B45">
      <w:pPr>
        <w:ind w:right="-425"/>
        <w:jc w:val="both"/>
        <w:rPr>
          <w:rFonts w:ascii="Verdana" w:hAnsi="Verdana"/>
          <w:color w:val="00000A"/>
        </w:rPr>
      </w:pPr>
    </w:p>
    <w:p w14:paraId="0A813422" w14:textId="77777777" w:rsidR="00756B45" w:rsidRDefault="00000000">
      <w:pPr>
        <w:ind w:right="-425"/>
        <w:jc w:val="both"/>
        <w:rPr>
          <w:rFonts w:ascii="Verdana" w:hAnsi="Verdana"/>
        </w:rPr>
      </w:pPr>
      <w:r>
        <w:rPr>
          <w:rFonts w:ascii="Verdana" w:hAnsi="Verdana"/>
          <w:color w:val="00000A"/>
        </w:rPr>
        <w:t>A metodologia de precificação visa garantir a exequibilidade das propostas, assegurando que os preços de referência reflitam as particularidades geográficas de cada localidade. Com isso, evita-se o risco de inexecução contratual e garante-se a observância ao princípio da economicidade, visto que a remuneração adequada do deslocamento atrai maior competitividade para os itens tecnicamente isolados, conforme preceitua o art. 5º da referida Lei.</w:t>
      </w:r>
    </w:p>
    <w:p w14:paraId="19B9B3BA" w14:textId="77777777" w:rsidR="00756B45" w:rsidRDefault="00756B45">
      <w:pPr>
        <w:rPr>
          <w:rFonts w:ascii="Verdana" w:hAnsi="Verdana"/>
          <w:b/>
          <w:bCs/>
        </w:rPr>
      </w:pPr>
    </w:p>
    <w:p w14:paraId="0430A2F7" w14:textId="77777777" w:rsidR="00756B45" w:rsidRDefault="00000000">
      <w:pPr>
        <w:rPr>
          <w:rFonts w:ascii="Verdana" w:hAnsi="Verdana"/>
        </w:rPr>
      </w:pPr>
      <w:r>
        <w:rPr>
          <w:rFonts w:ascii="Verdana" w:hAnsi="Verdana"/>
          <w:b/>
          <w:bCs/>
        </w:rPr>
        <w:t>4. Nota Explicativa – Pesquisa de Preços</w:t>
      </w:r>
    </w:p>
    <w:p w14:paraId="58E8A0A4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</w:rPr>
        <w:t>A pesquisa de preços considerou o contrato vigente com a empresa Dedetizadora Casa Limpa Ltda, objeto prestação de serviços de dedetização, desinsetização (insetos rasteiros e voadores, como baratas, formigas, entre outros), combate a escorpião, descupinização, manejo e desalojamento de pragas, fornecimento de sistema de repelência de pombos por pulso elétrico, saneamento e desratização, com fornecimento de mão de obra, materiais, equipamentos e insumos necessários à execução dos serviços, com periodicidade semestral, totalizando até 2 (duas) aplicações no período de 12 (doze) meses, com vigência até 24/09/2026.</w:t>
      </w:r>
    </w:p>
    <w:p w14:paraId="6F679548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</w:rPr>
        <w:t>Ressalta-se que não se prevê a renovação deste contrato, sendo utilizado apenas como parâmetro de referência de valores de mercado, juntamente com a Ata de Registro de Preços nº 001/2025 da CIM Noroeste e pesquisa de mercado local.</w:t>
      </w:r>
    </w:p>
    <w:p w14:paraId="73D6E5F6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</w:rPr>
        <w:t>O levantamento foi conduzido pelo servidor João Batista Antunes de Paulo, matrícula nº 9.736, sendo todas as informações devidamente registradas e juntadas aos autos do processo administrativo, em conformidade com a Lei nº 14.133/2021, arts. 17 e 18, §2º, e arts. 74 e 75, bem como com a Instrução Normativa SEGES/ME nº 65/2022, garantindo fundamentação legal, transparência e rastreabilidade na estimativa de preços.</w:t>
      </w:r>
    </w:p>
    <w:p w14:paraId="1641037C" w14:textId="77777777" w:rsidR="00756B45" w:rsidRDefault="00756B45">
      <w:pPr>
        <w:jc w:val="both"/>
        <w:rPr>
          <w:rFonts w:ascii="Verdana" w:hAnsi="Verdana"/>
        </w:rPr>
      </w:pPr>
    </w:p>
    <w:p w14:paraId="572F5BED" w14:textId="77777777" w:rsidR="00756B45" w:rsidRDefault="00000000">
      <w:pPr>
        <w:pStyle w:val="Ttulo3"/>
        <w:rPr>
          <w:rFonts w:ascii="Verdana" w:hAnsi="Verdana"/>
        </w:rPr>
      </w:pPr>
      <w:r>
        <w:rPr>
          <w:rFonts w:ascii="Verdana" w:hAnsi="Verdana"/>
        </w:rPr>
        <w:t>11.5. Nota Técnica sobre Arredondamentos e Precisão Numérica</w:t>
      </w:r>
    </w:p>
    <w:p w14:paraId="4EE66F8F" w14:textId="77777777" w:rsidR="00756B45" w:rsidRDefault="00000000">
      <w:pPr>
        <w:pStyle w:val="NormalWeb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Considerando a extensão das áreas físicas das unidades e a aplicação de coeficientes percentuais (Fator Logístico Rural), registra-se que:</w:t>
      </w:r>
    </w:p>
    <w:p w14:paraId="7952A054" w14:textId="77777777" w:rsidR="00756B45" w:rsidRDefault="00000000">
      <w:pPr>
        <w:pStyle w:val="NormalWeb"/>
        <w:numPr>
          <w:ilvl w:val="0"/>
          <w:numId w:val="24"/>
        </w:numPr>
      </w:pPr>
      <w:r>
        <w:rPr>
          <w:rFonts w:ascii="Verdana" w:hAnsi="Verdana"/>
          <w:b/>
          <w:bCs/>
          <w:sz w:val="20"/>
          <w:szCs w:val="20"/>
        </w:rPr>
        <w:t>Ajuste de Precisão:</w:t>
      </w:r>
      <w:r>
        <w:rPr>
          <w:rFonts w:ascii="Verdana" w:hAnsi="Verdana"/>
          <w:sz w:val="20"/>
          <w:szCs w:val="20"/>
        </w:rPr>
        <w:t xml:space="preserve"> Os valores unitários por metro quadrado (</w:t>
      </w:r>
      <w:r>
        <w:rPr>
          <w:rStyle w:val="math-inline"/>
          <w:rFonts w:ascii="Verdana" w:hAnsi="Verdana"/>
          <w:sz w:val="20"/>
          <w:szCs w:val="20"/>
        </w:rPr>
        <w:t>$R\$$</w:t>
      </w:r>
      <w:r>
        <w:rPr>
          <w:rFonts w:ascii="Verdana" w:hAnsi="Verdana"/>
          <w:sz w:val="20"/>
          <w:szCs w:val="20"/>
        </w:rPr>
        <w:t>) e as metragens (</w:t>
      </w:r>
      <w:r>
        <w:rPr>
          <w:rStyle w:val="math-inline"/>
          <w:rFonts w:ascii="Verdana" w:hAnsi="Verdana"/>
          <w:sz w:val="20"/>
          <w:szCs w:val="20"/>
        </w:rPr>
        <w:t>$m^2$</w:t>
      </w:r>
      <w:r>
        <w:rPr>
          <w:rFonts w:ascii="Verdana" w:hAnsi="Verdana"/>
          <w:sz w:val="20"/>
          <w:szCs w:val="20"/>
        </w:rPr>
        <w:t>) foram processados com até duas casas decimais. Eventuais divergências mínimas (centavos) entre o produto da multiplicação isolada de cada item e o Valor Global Estimado decorrem de arredondamentos automáticos do sistema de cálculo.</w:t>
      </w:r>
    </w:p>
    <w:p w14:paraId="71DDBF7B" w14:textId="77777777" w:rsidR="00756B45" w:rsidRDefault="00000000">
      <w:pPr>
        <w:pStyle w:val="NormalWeb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Prevalência do Valor Global:</w:t>
      </w:r>
      <w:r>
        <w:rPr>
          <w:rFonts w:ascii="Verdana" w:hAnsi="Verdana"/>
          <w:sz w:val="20"/>
          <w:szCs w:val="20"/>
        </w:rPr>
        <w:t xml:space="preserve"> Para todos os fins de reserva orçamentária e julgamento da licitação, prevalecerá o </w:t>
      </w:r>
      <w:r>
        <w:rPr>
          <w:rFonts w:ascii="Verdana" w:hAnsi="Verdana"/>
          <w:b/>
          <w:bCs/>
          <w:sz w:val="20"/>
          <w:szCs w:val="20"/>
        </w:rPr>
        <w:t>Valor Global Estimado de R$ 58.698,18</w:t>
      </w:r>
      <w:r>
        <w:rPr>
          <w:rFonts w:ascii="Verdana" w:hAnsi="Verdana"/>
          <w:sz w:val="20"/>
          <w:szCs w:val="20"/>
        </w:rPr>
        <w:t>, sendo este o limite máximo aceitável pela Administração para a execução dos dois ciclos anuais em todas as 23 unidades.</w:t>
      </w:r>
    </w:p>
    <w:p w14:paraId="6307D362" w14:textId="77777777" w:rsidR="00756B45" w:rsidRDefault="00000000">
      <w:pPr>
        <w:pStyle w:val="NormalWeb"/>
        <w:numPr>
          <w:ilvl w:val="0"/>
          <w:numId w:val="24"/>
        </w:numPr>
        <w:spacing w:after="28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Propostas das Licitantes:</w:t>
      </w:r>
      <w:r>
        <w:rPr>
          <w:rFonts w:ascii="Verdana" w:hAnsi="Verdana"/>
          <w:sz w:val="20"/>
          <w:szCs w:val="20"/>
        </w:rPr>
        <w:t xml:space="preserve"> As empresas proponentes deverão apresentar seus lances considerando o valor global, sendo de sua responsabilidade a distribuição dos custos internos de modo que a soma total coincida rigorosamente com o valor ofertado no certame.</w:t>
      </w:r>
    </w:p>
    <w:p w14:paraId="3E4540A0" w14:textId="77777777" w:rsidR="00756B45" w:rsidRDefault="00000000">
      <w:pPr>
        <w:rPr>
          <w:rFonts w:ascii="Verdana" w:hAnsi="Verdana"/>
        </w:rPr>
      </w:pPr>
      <w:r>
        <w:rPr>
          <w:rFonts w:ascii="Verdana" w:hAnsi="Verdana"/>
        </w:rPr>
        <w:t>5. Referências de Preço</w:t>
      </w:r>
    </w:p>
    <w:p w14:paraId="01CD14CB" w14:textId="77777777" w:rsidR="00756B45" w:rsidRDefault="00000000">
      <w:pPr>
        <w:numPr>
          <w:ilvl w:val="0"/>
          <w:numId w:val="13"/>
        </w:numPr>
        <w:suppressAutoHyphens w:val="0"/>
      </w:pPr>
      <w:r>
        <w:rPr>
          <w:rFonts w:ascii="Verdana" w:hAnsi="Verdana"/>
        </w:rPr>
        <w:t>CIM Noroeste – Ata de Registro de Preços 001/2025 – ID Cidades nº 2024.501C2600010.02.0017</w:t>
      </w:r>
      <w:r>
        <w:rPr>
          <w:rFonts w:ascii="Verdana" w:hAnsi="Verdana"/>
        </w:rPr>
        <w:br/>
        <w:t>Objeto: Serviços de dedetização, desinsetização, descupinização e desratização em unidades públicas.</w:t>
      </w:r>
      <w:r>
        <w:rPr>
          <w:rFonts w:ascii="Verdana" w:hAnsi="Verdana"/>
        </w:rPr>
        <w:br/>
      </w:r>
      <w:r>
        <w:rPr>
          <w:rFonts w:ascii="Verdana" w:hAnsi="Verdana"/>
        </w:rPr>
        <w:lastRenderedPageBreak/>
        <w:t xml:space="preserve">Disponível em: </w:t>
      </w:r>
      <w:hyperlink r:id="rId8">
        <w:r>
          <w:rPr>
            <w:rStyle w:val="Hyperlink"/>
            <w:rFonts w:ascii="Verdana" w:hAnsi="Verdana"/>
          </w:rPr>
          <w:t>https://cimnoroeste.es.gov.br/wp-content/uploads/2025/01/ARP-No-001-2025-DEDETIZADORA-CASA-LIMPAassinado.pdf</w:t>
        </w:r>
      </w:hyperlink>
    </w:p>
    <w:p w14:paraId="33A35AFB" w14:textId="77777777" w:rsidR="00756B45" w:rsidRDefault="00000000">
      <w:pPr>
        <w:ind w:left="720"/>
        <w:rPr>
          <w:rFonts w:ascii="Verdana" w:hAnsi="Verdana"/>
        </w:rPr>
      </w:pPr>
      <w:r>
        <w:rPr>
          <w:rFonts w:ascii="Verdana" w:hAnsi="Verdana"/>
        </w:rPr>
        <w:t>Acesso em: 06 mar. 2026</w:t>
      </w:r>
    </w:p>
    <w:p w14:paraId="1CE6219C" w14:textId="77777777" w:rsidR="00756B45" w:rsidRDefault="00756B45">
      <w:pPr>
        <w:ind w:left="720"/>
        <w:rPr>
          <w:rFonts w:ascii="Verdana" w:hAnsi="Verdana"/>
        </w:rPr>
      </w:pPr>
    </w:p>
    <w:p w14:paraId="43A420A8" w14:textId="77777777" w:rsidR="00756B45" w:rsidRDefault="00000000">
      <w:pPr>
        <w:numPr>
          <w:ilvl w:val="0"/>
          <w:numId w:val="13"/>
        </w:numPr>
        <w:suppressAutoHyphens w:val="0"/>
        <w:spacing w:after="160"/>
      </w:pPr>
      <w:r>
        <w:rPr>
          <w:rFonts w:ascii="Verdana" w:hAnsi="Verdana"/>
        </w:rPr>
        <w:t>Município de Vitória (ES) — Contratação Direta PNCP</w:t>
      </w:r>
      <w:r>
        <w:rPr>
          <w:rFonts w:ascii="Verdana" w:hAnsi="Verdana"/>
        </w:rPr>
        <w:noBreakHyphen/>
        <w:t>31729742000186</w:t>
      </w:r>
      <w:r>
        <w:rPr>
          <w:rFonts w:ascii="Verdana" w:hAnsi="Verdana"/>
        </w:rPr>
        <w:noBreakHyphen/>
        <w:t>1</w:t>
      </w:r>
      <w:r>
        <w:rPr>
          <w:rFonts w:ascii="Verdana" w:hAnsi="Verdana"/>
        </w:rPr>
        <w:noBreakHyphen/>
        <w:t>000002</w:t>
      </w:r>
      <w:r>
        <w:rPr>
          <w:rFonts w:ascii="Verdana" w:hAnsi="Verdana"/>
        </w:rPr>
        <w:noBreakHyphen/>
        <w:t>2025</w:t>
      </w:r>
      <w:r>
        <w:rPr>
          <w:rFonts w:ascii="Verdana" w:hAnsi="Verdana"/>
        </w:rPr>
        <w:br/>
        <w:t>Objeto: serviços de dedetização, descupinização e desratização.</w:t>
      </w:r>
      <w:r>
        <w:rPr>
          <w:rFonts w:ascii="Verdana" w:hAnsi="Verdana"/>
        </w:rPr>
        <w:br/>
        <w:t xml:space="preserve">Disponível em: </w:t>
      </w:r>
      <w:hyperlink r:id="rId9" w:tgtFrame="_new">
        <w:r>
          <w:rPr>
            <w:rStyle w:val="Hyperlink"/>
            <w:rFonts w:ascii="Verdana" w:hAnsi="Verdana"/>
          </w:rPr>
          <w:t>https://pncp.gov.br/app/editais/31729742000186/2025/2</w:t>
        </w:r>
      </w:hyperlink>
      <w:r>
        <w:rPr>
          <w:rFonts w:ascii="Verdana" w:hAnsi="Verdana"/>
        </w:rPr>
        <w:br/>
        <w:t>Acesso em: 06 mar. 2026</w:t>
      </w:r>
    </w:p>
    <w:p w14:paraId="0A85B5B6" w14:textId="77777777" w:rsidR="00756B45" w:rsidRDefault="00000000">
      <w:pPr>
        <w:numPr>
          <w:ilvl w:val="0"/>
          <w:numId w:val="13"/>
        </w:numPr>
        <w:suppressAutoHyphens w:val="0"/>
        <w:spacing w:after="160"/>
      </w:pPr>
      <w:r>
        <w:rPr>
          <w:rFonts w:ascii="Verdana" w:hAnsi="Verdana"/>
        </w:rPr>
        <w:t>IFES – Vila Velha (ES) — Controle integrado de pragas urbanas</w:t>
      </w:r>
      <w:r>
        <w:rPr>
          <w:rFonts w:ascii="Verdana" w:hAnsi="Verdana"/>
        </w:rPr>
        <w:br/>
        <w:t>Identificador PNCP: 10838653000106</w:t>
      </w:r>
      <w:r>
        <w:rPr>
          <w:rFonts w:ascii="Verdana" w:hAnsi="Verdana"/>
        </w:rPr>
        <w:noBreakHyphen/>
        <w:t>1</w:t>
      </w:r>
      <w:r>
        <w:rPr>
          <w:rFonts w:ascii="Verdana" w:hAnsi="Verdana"/>
        </w:rPr>
        <w:noBreakHyphen/>
        <w:t>000800</w:t>
      </w:r>
      <w:r>
        <w:rPr>
          <w:rFonts w:ascii="Verdana" w:hAnsi="Verdana"/>
        </w:rPr>
        <w:noBreakHyphen/>
        <w:t>2025</w:t>
      </w:r>
      <w:r>
        <w:rPr>
          <w:rFonts w:ascii="Verdana" w:hAnsi="Verdana"/>
        </w:rPr>
        <w:br/>
        <w:t xml:space="preserve">Disponível em: </w:t>
      </w:r>
      <w:hyperlink r:id="rId10" w:tgtFrame="_new">
        <w:r>
          <w:rPr>
            <w:rStyle w:val="Hyperlink"/>
            <w:rFonts w:ascii="Verdana" w:hAnsi="Verdana"/>
          </w:rPr>
          <w:t>https://buscarlicitacao.com.br/licitacao/es/vila-velha/10838653000106-1-000800/2025/aviso-de-contratacao-direta-no-52-2025</w:t>
        </w:r>
      </w:hyperlink>
      <w:r>
        <w:rPr>
          <w:rFonts w:ascii="Verdana" w:hAnsi="Verdana"/>
        </w:rPr>
        <w:br/>
        <w:t>Acesso em: 06 mar. 2026.</w:t>
      </w:r>
      <w:r>
        <w:rPr>
          <w:rFonts w:ascii="Verdana" w:hAnsi="Verdana"/>
          <w:vanish/>
        </w:rPr>
        <w:t>Parte inferior do formulário</w:t>
      </w:r>
    </w:p>
    <w:p w14:paraId="4698B114" w14:textId="77777777" w:rsidR="00756B45" w:rsidRDefault="00756B45">
      <w:pPr>
        <w:ind w:right="-425"/>
        <w:jc w:val="both"/>
        <w:rPr>
          <w:rFonts w:ascii="Verdana" w:hAnsi="Verdana"/>
          <w:color w:val="00000A"/>
        </w:rPr>
      </w:pPr>
    </w:p>
    <w:p w14:paraId="6ACE1B50" w14:textId="77777777" w:rsidR="00756B45" w:rsidRDefault="00756B45">
      <w:pPr>
        <w:suppressAutoHyphens w:val="0"/>
        <w:jc w:val="both"/>
        <w:rPr>
          <w:rFonts w:ascii="Verdana" w:hAnsi="Verdana"/>
          <w:bCs/>
        </w:rPr>
      </w:pPr>
    </w:p>
    <w:p w14:paraId="7FFABE1A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12. JUSTIFICATIVA PARA O PARCELAMENTO OU NÃO DA SOLUÇÃO</w:t>
      </w:r>
    </w:p>
    <w:p w14:paraId="515BD6F7" w14:textId="77777777" w:rsidR="00756B45" w:rsidRDefault="00756B45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</w:p>
    <w:p w14:paraId="4B52B4BF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Diante da análise técnica e operacional, conclui-se que a contratação por </w:t>
      </w:r>
      <w:r>
        <w:rPr>
          <w:rFonts w:ascii="Verdana" w:hAnsi="Verdana"/>
          <w:b/>
          <w:bCs/>
          <w:sz w:val="20"/>
          <w:szCs w:val="20"/>
        </w:rPr>
        <w:t>Lote Único</w:t>
      </w:r>
      <w:r>
        <w:rPr>
          <w:rFonts w:ascii="Verdana" w:hAnsi="Verdana"/>
          <w:sz w:val="20"/>
          <w:szCs w:val="20"/>
        </w:rPr>
        <w:t xml:space="preserve">, com julgamento pelo </w:t>
      </w:r>
      <w:r>
        <w:rPr>
          <w:rFonts w:ascii="Verdana" w:hAnsi="Verdana"/>
          <w:b/>
          <w:bCs/>
          <w:sz w:val="20"/>
          <w:szCs w:val="20"/>
        </w:rPr>
        <w:t>Menor Preço Global</w:t>
      </w:r>
      <w:r>
        <w:rPr>
          <w:rFonts w:ascii="Verdana" w:hAnsi="Verdana"/>
          <w:sz w:val="20"/>
          <w:szCs w:val="20"/>
        </w:rPr>
        <w:t>, é a solução que melhor atende ao interesse público para o Manejo Integrado de Pragas (MIP) nas 23 unidades da Secretaria de Educação.</w:t>
      </w:r>
    </w:p>
    <w:p w14:paraId="3EECD642" w14:textId="77777777" w:rsidR="00756B45" w:rsidRDefault="00000000">
      <w:pPr>
        <w:pStyle w:val="NormalWeb"/>
        <w:spacing w:beforeAutospacing="0" w:afterAutospacing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Esta decisão fundamenta-se nos seguintes pontos:</w:t>
      </w:r>
    </w:p>
    <w:p w14:paraId="1EE477C6" w14:textId="77777777" w:rsidR="00756B45" w:rsidRDefault="00756B45">
      <w:pPr>
        <w:pStyle w:val="NormalWeb"/>
        <w:spacing w:beforeAutospacing="0" w:afterAutospacing="0"/>
        <w:rPr>
          <w:rFonts w:ascii="Verdana" w:hAnsi="Verdana"/>
          <w:sz w:val="20"/>
          <w:szCs w:val="20"/>
        </w:rPr>
      </w:pPr>
    </w:p>
    <w:p w14:paraId="3DD39995" w14:textId="77777777" w:rsidR="00756B45" w:rsidRDefault="00000000">
      <w:pPr>
        <w:pStyle w:val="NormalWeb"/>
        <w:numPr>
          <w:ilvl w:val="0"/>
          <w:numId w:val="15"/>
        </w:numPr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Viabilidade Econômica:</w:t>
      </w:r>
      <w:r>
        <w:rPr>
          <w:rFonts w:ascii="Verdana" w:hAnsi="Verdana"/>
          <w:sz w:val="20"/>
          <w:szCs w:val="20"/>
        </w:rPr>
        <w:t xml:space="preserve"> O valor global estimado de </w:t>
      </w:r>
      <w:r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R$ </w:t>
      </w:r>
      <w:r>
        <w:rPr>
          <w:rFonts w:ascii="Verdana" w:hAnsi="Verdana"/>
          <w:b/>
          <w:color w:val="000000"/>
          <w:sz w:val="20"/>
          <w:szCs w:val="20"/>
        </w:rPr>
        <w:t>58.698,</w:t>
      </w:r>
      <w:r>
        <w:rPr>
          <w:rFonts w:ascii="Verdana" w:hAnsi="Verdana"/>
          <w:b/>
          <w:sz w:val="20"/>
          <w:szCs w:val="20"/>
        </w:rPr>
        <w:t>18</w:t>
      </w:r>
      <w:r>
        <w:rPr>
          <w:rFonts w:ascii="Verdana" w:hAnsi="Verdana"/>
          <w:color w:val="000000" w:themeColor="text1"/>
          <w:sz w:val="20"/>
          <w:szCs w:val="20"/>
        </w:rPr>
        <w:t xml:space="preserve"> (cinquenta e oito mil, seiscentos e noventa e oito reais e dezoito centavos),</w:t>
      </w:r>
      <w:r>
        <w:rPr>
          <w:rFonts w:ascii="Verdana" w:hAnsi="Verdana"/>
          <w:sz w:val="20"/>
          <w:szCs w:val="20"/>
        </w:rPr>
        <w:t xml:space="preserve"> é plenamente compatível com a capacidade operacional do mercado regional, não constituindo barreira à ampla competitividade. Pelo contrário, o volume total atrai empresas especializadas que conseguem otimizar custos de escala.</w:t>
      </w:r>
    </w:p>
    <w:p w14:paraId="79B7BADF" w14:textId="77777777" w:rsidR="00756B45" w:rsidRDefault="00000000">
      <w:pPr>
        <w:pStyle w:val="NormalWeb"/>
        <w:numPr>
          <w:ilvl w:val="0"/>
          <w:numId w:val="15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Padronização Técnica:</w:t>
      </w:r>
      <w:r>
        <w:rPr>
          <w:rFonts w:ascii="Verdana" w:hAnsi="Verdana"/>
          <w:sz w:val="20"/>
          <w:szCs w:val="20"/>
        </w:rPr>
        <w:t xml:space="preserve"> A unificação do lote garante que a metodologia, os saneantes domissanitários e o cronograma de aplicação sejam idênticos em toda a rede (Urbana e Rural), evitando falhas de cobertura sanitária e reinfestações cruzadas entre unidades.</w:t>
      </w:r>
    </w:p>
    <w:p w14:paraId="188903BC" w14:textId="77777777" w:rsidR="00756B45" w:rsidRDefault="00000000">
      <w:pPr>
        <w:pStyle w:val="NormalWeb"/>
        <w:numPr>
          <w:ilvl w:val="0"/>
          <w:numId w:val="15"/>
        </w:numPr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Eficiência Administrativa:</w:t>
      </w:r>
      <w:r>
        <w:rPr>
          <w:rFonts w:ascii="Verdana" w:hAnsi="Verdana"/>
          <w:sz w:val="20"/>
          <w:szCs w:val="20"/>
        </w:rPr>
        <w:t xml:space="preserve"> A gestão de um contrato único reduz drasticamente a carga burocrática de fiscalização e medição, permitindo um controle mais rigoroso e centralizado pela SEMED, em estrita observância ao </w:t>
      </w:r>
      <w:r>
        <w:rPr>
          <w:rFonts w:ascii="Verdana" w:hAnsi="Verdana"/>
          <w:b/>
          <w:bCs/>
          <w:sz w:val="20"/>
          <w:szCs w:val="20"/>
        </w:rPr>
        <w:t>Art. 23 da Lei nº 14.133/2021</w:t>
      </w:r>
      <w:r>
        <w:rPr>
          <w:rFonts w:ascii="Verdana" w:hAnsi="Verdana"/>
          <w:sz w:val="20"/>
          <w:szCs w:val="20"/>
        </w:rPr>
        <w:t>.</w:t>
      </w:r>
    </w:p>
    <w:p w14:paraId="5B610D8D" w14:textId="77777777" w:rsidR="00756B45" w:rsidRDefault="00756B45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</w:p>
    <w:p w14:paraId="3551B44A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Portanto, a opção pelo lote único assegura a </w:t>
      </w:r>
      <w:r>
        <w:rPr>
          <w:rFonts w:ascii="Verdana" w:hAnsi="Verdana"/>
          <w:b/>
          <w:bCs/>
          <w:sz w:val="20"/>
          <w:szCs w:val="20"/>
        </w:rPr>
        <w:t>economicidade</w:t>
      </w:r>
      <w:r>
        <w:rPr>
          <w:rFonts w:ascii="Verdana" w:hAnsi="Verdana"/>
          <w:sz w:val="20"/>
          <w:szCs w:val="20"/>
        </w:rPr>
        <w:t xml:space="preserve"> (diluição dos custos logísticos rurais no volume urbano) e a </w:t>
      </w:r>
      <w:r>
        <w:rPr>
          <w:rFonts w:ascii="Verdana" w:hAnsi="Verdana"/>
          <w:b/>
          <w:bCs/>
          <w:sz w:val="20"/>
          <w:szCs w:val="20"/>
        </w:rPr>
        <w:t>eficácia sanitária</w:t>
      </w:r>
      <w:r>
        <w:rPr>
          <w:rFonts w:ascii="Verdana" w:hAnsi="Verdana"/>
          <w:sz w:val="20"/>
          <w:szCs w:val="20"/>
        </w:rPr>
        <w:t xml:space="preserve"> indispensável ao ambiente escolar.</w:t>
      </w:r>
      <w:bookmarkEnd w:id="0"/>
    </w:p>
    <w:p w14:paraId="1A7E3B19" w14:textId="77777777" w:rsidR="00756B45" w:rsidRDefault="00756B45">
      <w:pPr>
        <w:jc w:val="both"/>
        <w:rPr>
          <w:rFonts w:ascii="Verdana" w:hAnsi="Verdana"/>
          <w:b/>
          <w:bCs/>
        </w:rPr>
      </w:pPr>
    </w:p>
    <w:p w14:paraId="77ADFB1B" w14:textId="77777777" w:rsidR="00756B45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/>
          <w:b/>
          <w:bCs/>
          <w:color w:val="00000A"/>
        </w:rPr>
        <w:t>13. VIABILIDADE ECONÔMICA E ORÇAMENTÁRIA</w:t>
      </w:r>
    </w:p>
    <w:p w14:paraId="68873085" w14:textId="77777777" w:rsidR="00756B45" w:rsidRDefault="00756B45">
      <w:pPr>
        <w:suppressAutoHyphens w:val="0"/>
        <w:jc w:val="both"/>
        <w:rPr>
          <w:rFonts w:ascii="Verdana" w:hAnsi="Verdana"/>
          <w:b/>
          <w:bCs/>
          <w:color w:val="00000A"/>
        </w:rPr>
      </w:pPr>
    </w:p>
    <w:p w14:paraId="255D45F2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 contratação dos serviços de </w:t>
      </w:r>
      <w:r>
        <w:rPr>
          <w:rFonts w:ascii="Verdana" w:hAnsi="Verdana"/>
          <w:b/>
          <w:bCs/>
          <w:sz w:val="20"/>
          <w:szCs w:val="20"/>
        </w:rPr>
        <w:t>Manejo Integrado de Pragas (MIP)</w:t>
      </w:r>
      <w:r>
        <w:rPr>
          <w:rFonts w:ascii="Verdana" w:hAnsi="Verdana"/>
          <w:sz w:val="20"/>
          <w:szCs w:val="20"/>
        </w:rPr>
        <w:t>, abrangendo desinsetização, desratização e descupinização para as 22 Unidades Escolares Municipais e a sede da Secretaria de Educação, é considerada técnica e economicamente viável.</w:t>
      </w:r>
    </w:p>
    <w:p w14:paraId="06511069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 estratégia de realizar </w:t>
      </w:r>
      <w:r>
        <w:rPr>
          <w:rFonts w:ascii="Verdana" w:hAnsi="Verdana"/>
          <w:b/>
          <w:bCs/>
          <w:sz w:val="20"/>
          <w:szCs w:val="20"/>
        </w:rPr>
        <w:t>duas intervenções anuais</w:t>
      </w:r>
      <w:r>
        <w:rPr>
          <w:rFonts w:ascii="Verdana" w:hAnsi="Verdana"/>
          <w:sz w:val="20"/>
          <w:szCs w:val="20"/>
        </w:rPr>
        <w:t xml:space="preserve"> (periodicidade semestral) garante a proteção contínua do ambiente escolar e administrativo. O custo estimado de </w:t>
      </w:r>
      <w:r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R$ </w:t>
      </w:r>
      <w:r>
        <w:rPr>
          <w:rFonts w:ascii="Verdana" w:hAnsi="Verdana"/>
          <w:b/>
          <w:color w:val="000000"/>
          <w:sz w:val="20"/>
          <w:szCs w:val="20"/>
        </w:rPr>
        <w:t>58.698,18</w:t>
      </w:r>
      <w:r>
        <w:rPr>
          <w:rFonts w:ascii="Verdana" w:hAnsi="Verdana"/>
          <w:color w:val="000000" w:themeColor="text1"/>
          <w:sz w:val="20"/>
          <w:szCs w:val="20"/>
        </w:rPr>
        <w:t xml:space="preserve"> (cinquenta e oito mil, e seiscentos e noventa e oito reais e trinta e dezoito centavos), </w:t>
      </w:r>
      <w:r>
        <w:rPr>
          <w:rFonts w:ascii="Verdana" w:hAnsi="Verdana"/>
          <w:sz w:val="20"/>
          <w:szCs w:val="20"/>
        </w:rPr>
        <w:t xml:space="preserve">demonstra-se compatível com a dotação orçamentária da pasta, atendendo aos princípios de eficiência, economicidade e regularidade previstos na </w:t>
      </w:r>
      <w:r>
        <w:rPr>
          <w:rFonts w:ascii="Verdana" w:hAnsi="Verdana"/>
          <w:b/>
          <w:bCs/>
          <w:sz w:val="20"/>
          <w:szCs w:val="20"/>
        </w:rPr>
        <w:t>Lei nº 14.133/2021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</w:t>
      </w:r>
    </w:p>
    <w:p w14:paraId="6EEF4829" w14:textId="77777777" w:rsidR="00756B45" w:rsidRDefault="00756B45">
      <w:pPr>
        <w:pStyle w:val="NormalWeb"/>
        <w:spacing w:beforeAutospacing="0" w:afterAutospacing="0"/>
        <w:rPr>
          <w:rFonts w:ascii="Verdana" w:hAnsi="Verdana"/>
          <w:sz w:val="20"/>
          <w:szCs w:val="20"/>
        </w:rPr>
      </w:pPr>
    </w:p>
    <w:p w14:paraId="6CB039B0" w14:textId="77777777" w:rsidR="00756B45" w:rsidRDefault="00000000">
      <w:pPr>
        <w:pStyle w:val="Ttulo4"/>
        <w:rPr>
          <w:rFonts w:ascii="Verdana" w:hAnsi="Verdana"/>
          <w:sz w:val="20"/>
        </w:rPr>
      </w:pPr>
      <w:r>
        <w:rPr>
          <w:rFonts w:ascii="Verdana" w:hAnsi="Verdana"/>
          <w:b/>
          <w:color w:val="000000" w:themeColor="text1"/>
          <w:sz w:val="20"/>
        </w:rPr>
        <w:t>13.1. Ganho de Eficiência e Economicidade</w:t>
      </w:r>
    </w:p>
    <w:p w14:paraId="3FA20B40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 opção pela contratação em </w:t>
      </w:r>
      <w:r>
        <w:rPr>
          <w:rFonts w:ascii="Verdana" w:hAnsi="Verdana"/>
          <w:b/>
          <w:bCs/>
          <w:sz w:val="20"/>
          <w:szCs w:val="20"/>
        </w:rPr>
        <w:t>lote único</w:t>
      </w:r>
      <w:r>
        <w:rPr>
          <w:rFonts w:ascii="Verdana" w:hAnsi="Verdana"/>
          <w:sz w:val="20"/>
          <w:szCs w:val="20"/>
        </w:rPr>
        <w:t xml:space="preserve"> não compromete a economia de escala, visto que o mercado de controle de pragas é composto majoritariamente por empresas de pequeno e médio porte com plena capacidade operacional para atender ao conjunto das unidades.</w:t>
      </w:r>
    </w:p>
    <w:p w14:paraId="469668E5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Ao definir especificações técnicas detalhadas para a solução global, a Administração assegura:</w:t>
      </w:r>
    </w:p>
    <w:p w14:paraId="13430072" w14:textId="77777777" w:rsidR="00756B45" w:rsidRDefault="00000000">
      <w:pPr>
        <w:pStyle w:val="NormalWeb"/>
        <w:numPr>
          <w:ilvl w:val="0"/>
          <w:numId w:val="16"/>
        </w:numPr>
        <w:spacing w:beforeAutospacing="0" w:afterAutospacing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>Padronização da Qualidade:</w:t>
      </w:r>
      <w:r>
        <w:rPr>
          <w:rFonts w:ascii="Verdana" w:hAnsi="Verdana"/>
          <w:sz w:val="20"/>
          <w:szCs w:val="20"/>
        </w:rPr>
        <w:t xml:space="preserve"> Garante que o mesmo rigor técnico e os mesmos insumos (domissanitários registrados na ANVISA) sejam aplicados tanto na sede urbana quanto nas escolas rurais;</w:t>
      </w:r>
    </w:p>
    <w:p w14:paraId="0C74D46F" w14:textId="77777777" w:rsidR="00756B45" w:rsidRDefault="00000000">
      <w:pPr>
        <w:pStyle w:val="NormalWeb"/>
        <w:numPr>
          <w:ilvl w:val="0"/>
          <w:numId w:val="1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Eficiência do Gasto Público:</w:t>
      </w:r>
      <w:r>
        <w:rPr>
          <w:rFonts w:ascii="Verdana" w:hAnsi="Verdana"/>
          <w:sz w:val="20"/>
          <w:szCs w:val="20"/>
        </w:rPr>
        <w:t xml:space="preserve"> Reduz drasticamente o custo administrativo e operacional de gerir e fiscalizar múltiplos contratos distintos;</w:t>
      </w:r>
    </w:p>
    <w:p w14:paraId="79065095" w14:textId="77777777" w:rsidR="00756B45" w:rsidRDefault="00000000">
      <w:pPr>
        <w:pStyle w:val="NormalWeb"/>
        <w:numPr>
          <w:ilvl w:val="0"/>
          <w:numId w:val="16"/>
        </w:numPr>
        <w:spacing w:beforeAutospacing="0" w:afterAutospacing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Mitigação de Riscos de Inexecução:</w:t>
      </w:r>
      <w:r>
        <w:rPr>
          <w:rFonts w:ascii="Verdana" w:hAnsi="Verdana"/>
          <w:sz w:val="20"/>
          <w:szCs w:val="20"/>
        </w:rPr>
        <w:t xml:space="preserve"> Evita que unidades localizadas em áreas remotas ou de difícil acesso fiquem sem interessados (licitação deserta), garantindo que a empresa vencedora assuma a responsabilidade por toda a rede de ensino.</w:t>
      </w:r>
    </w:p>
    <w:p w14:paraId="024E4F0E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Dessa forma, a Administração garante que os serviços sejam realizados de maneira contínua e segura, promovendo a proteção da saúde pública e mantendo a higiene ambiental rigorosa em todas as unidades atendidas.</w:t>
      </w:r>
    </w:p>
    <w:p w14:paraId="113B875B" w14:textId="77777777" w:rsidR="00756B45" w:rsidRDefault="00756B45">
      <w:pPr>
        <w:suppressAutoHyphens w:val="0"/>
        <w:jc w:val="both"/>
        <w:rPr>
          <w:rFonts w:ascii="Verdana" w:hAnsi="Verdana"/>
          <w:b/>
        </w:rPr>
      </w:pPr>
    </w:p>
    <w:p w14:paraId="33C47B8A" w14:textId="77777777" w:rsidR="00756B45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14. CONTRATAÇÕES CORRELATAS E/OU INTERDEPENDENTES</w:t>
      </w:r>
    </w:p>
    <w:p w14:paraId="13C42092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14.1. Independência da Solução:</w:t>
      </w:r>
      <w:r>
        <w:rPr>
          <w:rFonts w:ascii="Verdana" w:hAnsi="Verdana"/>
          <w:sz w:val="20"/>
          <w:szCs w:val="20"/>
        </w:rPr>
        <w:t xml:space="preserve"> Inexistem contratações correlatas ou interdependentes que comprometam a viabilidade ou a execução imediata desta solução. O serviço de Manejo Integrado de Pragas (MIP) possui </w:t>
      </w:r>
      <w:r>
        <w:rPr>
          <w:rFonts w:ascii="Verdana" w:hAnsi="Verdana"/>
          <w:b/>
          <w:bCs/>
          <w:sz w:val="20"/>
          <w:szCs w:val="20"/>
        </w:rPr>
        <w:t>independência funcional</w:t>
      </w:r>
      <w:r>
        <w:rPr>
          <w:rFonts w:ascii="Verdana" w:hAnsi="Verdana"/>
          <w:sz w:val="20"/>
          <w:szCs w:val="20"/>
        </w:rPr>
        <w:t>, permitindo sua execução direta e isolada em cada unidade, sem a necessidade de intervenções prévias ou simultâneas de outros fornecedores.</w:t>
      </w:r>
    </w:p>
    <w:p w14:paraId="662246CC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14.2. Eficiência Operacional:</w:t>
      </w:r>
      <w:r>
        <w:rPr>
          <w:rFonts w:ascii="Verdana" w:hAnsi="Verdana"/>
          <w:sz w:val="20"/>
          <w:szCs w:val="20"/>
        </w:rPr>
        <w:t xml:space="preserve"> A autonomia do objeto assegura a celeridade do cronograma físico-financeiro, garantindo que as aplicações semestrais ocorram conforme a conveniência da Secretaria de Educação, atendendo rigorosamente aos princípios da eficiência e da continuidade do serviço público.</w:t>
      </w:r>
    </w:p>
    <w:p w14:paraId="4C02DE12" w14:textId="77777777" w:rsidR="00756B45" w:rsidRDefault="00756B45">
      <w:pPr>
        <w:suppressAutoHyphens w:val="0"/>
        <w:jc w:val="both"/>
        <w:rPr>
          <w:rFonts w:ascii="Verdana" w:hAnsi="Verdana"/>
          <w:bCs/>
        </w:rPr>
      </w:pPr>
    </w:p>
    <w:p w14:paraId="250E29D7" w14:textId="77777777" w:rsidR="00756B45" w:rsidRDefault="00000000">
      <w:pPr>
        <w:pStyle w:val="Ttulo3"/>
        <w:rPr>
          <w:rFonts w:ascii="Verdana" w:hAnsi="Verdana"/>
        </w:rPr>
      </w:pPr>
      <w:r>
        <w:rPr>
          <w:rFonts w:ascii="Verdana" w:hAnsi="Verdana"/>
          <w:color w:val="000000" w:themeColor="text1"/>
        </w:rPr>
        <w:t>15. RESULTADOS PRETENDIDOS COM A CONTRATAÇÃO</w:t>
      </w:r>
    </w:p>
    <w:p w14:paraId="2B67D3A8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 contratação do Manejo Integrado de Pragas (MIP) visa alcançar resultados que transcendem a mera execução do serviço, focando na preservação do patrimônio público e na saúde da comunidade escolar:</w:t>
      </w:r>
    </w:p>
    <w:p w14:paraId="492F9080" w14:textId="77777777" w:rsidR="00756B45" w:rsidRDefault="00000000">
      <w:pPr>
        <w:pStyle w:val="NormalWeb"/>
        <w:spacing w:beforeAutospacing="0" w:afterAutospacing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15.1. Controle Sanitário e Epidemiológico:</w:t>
      </w:r>
    </w:p>
    <w:p w14:paraId="40C74861" w14:textId="77777777" w:rsidR="00756B45" w:rsidRDefault="00000000">
      <w:pPr>
        <w:pStyle w:val="NormalWeb"/>
        <w:numPr>
          <w:ilvl w:val="0"/>
          <w:numId w:val="17"/>
        </w:numPr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Garantir a eliminação e o controle eficaz de pragas (insetos rasteiros e voadores, roedores, escorpiões e outros vetores);</w:t>
      </w:r>
    </w:p>
    <w:p w14:paraId="38308ED3" w14:textId="77777777" w:rsidR="00756B45" w:rsidRDefault="00000000">
      <w:pPr>
        <w:pStyle w:val="NormalWeb"/>
        <w:numPr>
          <w:ilvl w:val="0"/>
          <w:numId w:val="17"/>
        </w:numPr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Mitigar riscos de transmissão de doenças infectocontagiosas no ambiente escolar e administrativo;</w:t>
      </w:r>
    </w:p>
    <w:p w14:paraId="39E40979" w14:textId="77777777" w:rsidR="00756B45" w:rsidRDefault="00000000">
      <w:pPr>
        <w:pStyle w:val="NormalWeb"/>
        <w:numPr>
          <w:ilvl w:val="0"/>
          <w:numId w:val="17"/>
        </w:numPr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Assegurar que 100% das unidades atendam aos padrões de higiene exigidos pela Vigilância Sanitária.</w:t>
      </w:r>
    </w:p>
    <w:p w14:paraId="7C4C321B" w14:textId="77777777" w:rsidR="00756B45" w:rsidRDefault="00756B45">
      <w:pPr>
        <w:pStyle w:val="NormalWeb"/>
        <w:spacing w:beforeAutospacing="0" w:afterAutospacing="0"/>
        <w:ind w:left="720"/>
        <w:jc w:val="both"/>
        <w:rPr>
          <w:rFonts w:ascii="Verdana" w:hAnsi="Verdana"/>
          <w:sz w:val="20"/>
          <w:szCs w:val="20"/>
        </w:rPr>
      </w:pPr>
    </w:p>
    <w:p w14:paraId="122B3D22" w14:textId="77777777" w:rsidR="00756B45" w:rsidRDefault="00000000">
      <w:pPr>
        <w:pStyle w:val="NormalWeb"/>
        <w:spacing w:beforeAutospacing="0" w:afterAutospacing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15.2. Preservação do Patrimônio e Ambiente Escolar:</w:t>
      </w:r>
    </w:p>
    <w:p w14:paraId="1FD4F6A1" w14:textId="77777777" w:rsidR="00756B45" w:rsidRDefault="00000000">
      <w:pPr>
        <w:pStyle w:val="NormalWeb"/>
        <w:numPr>
          <w:ilvl w:val="0"/>
          <w:numId w:val="18"/>
        </w:numPr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Prevenir danos estruturais causados por pragas (como cupins e roedores) em mobiliários, fiações elétricas e arquivos;</w:t>
      </w:r>
    </w:p>
    <w:p w14:paraId="48063795" w14:textId="77777777" w:rsidR="00756B45" w:rsidRDefault="00000000">
      <w:pPr>
        <w:pStyle w:val="NormalWeb"/>
        <w:numPr>
          <w:ilvl w:val="0"/>
          <w:numId w:val="18"/>
        </w:numPr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Proporcionar um ambiente de trabalho e aprendizado seguro, saudável e salubre para alunos, professores e demais servidores da Rede Municipal.</w:t>
      </w:r>
    </w:p>
    <w:p w14:paraId="318F38B4" w14:textId="77777777" w:rsidR="00756B45" w:rsidRDefault="00756B45">
      <w:pPr>
        <w:pStyle w:val="NormalWeb"/>
        <w:spacing w:beforeAutospacing="0" w:afterAutospacing="0"/>
        <w:ind w:left="720"/>
        <w:jc w:val="both"/>
        <w:rPr>
          <w:rFonts w:ascii="Verdana" w:hAnsi="Verdana"/>
          <w:sz w:val="20"/>
          <w:szCs w:val="20"/>
        </w:rPr>
      </w:pPr>
    </w:p>
    <w:p w14:paraId="5E7F289B" w14:textId="77777777" w:rsidR="00756B45" w:rsidRDefault="00000000">
      <w:pPr>
        <w:pStyle w:val="NormalWeb"/>
        <w:spacing w:beforeAutospacing="0" w:afterAutospacing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15.3. Regularidade Técnica e Conformidade Legal:</w:t>
      </w:r>
    </w:p>
    <w:p w14:paraId="4F45ACA2" w14:textId="77777777" w:rsidR="00756B45" w:rsidRDefault="00000000">
      <w:pPr>
        <w:pStyle w:val="NormalWeb"/>
        <w:numPr>
          <w:ilvl w:val="0"/>
          <w:numId w:val="19"/>
        </w:numPr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Manutenção de um cronograma preventivo contínuo e rastreável, com emissão de Laudos Técnicos e Certificados de Execução por unidade;</w:t>
      </w:r>
    </w:p>
    <w:p w14:paraId="3EFC9306" w14:textId="77777777" w:rsidR="00756B45" w:rsidRDefault="00000000">
      <w:pPr>
        <w:pStyle w:val="NormalWeb"/>
        <w:numPr>
          <w:ilvl w:val="0"/>
          <w:numId w:val="19"/>
        </w:numPr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Garantia do uso exclusivo de produtos saneantes domissanitários devidamente registrados na </w:t>
      </w:r>
      <w:r>
        <w:rPr>
          <w:rFonts w:ascii="Verdana" w:hAnsi="Verdana"/>
          <w:b/>
          <w:bCs/>
          <w:sz w:val="20"/>
          <w:szCs w:val="20"/>
        </w:rPr>
        <w:t>ANVISA</w:t>
      </w:r>
      <w:r>
        <w:rPr>
          <w:rFonts w:ascii="Verdana" w:hAnsi="Verdana"/>
          <w:sz w:val="20"/>
          <w:szCs w:val="20"/>
        </w:rPr>
        <w:t xml:space="preserve">, em estrita observância às normas técnicas vigentes e à </w:t>
      </w:r>
      <w:r>
        <w:rPr>
          <w:rFonts w:ascii="Verdana" w:hAnsi="Verdana"/>
          <w:b/>
          <w:bCs/>
          <w:sz w:val="20"/>
          <w:szCs w:val="20"/>
        </w:rPr>
        <w:t>Lei nº 14.133/2021</w:t>
      </w:r>
      <w:r>
        <w:rPr>
          <w:rFonts w:ascii="Verdana" w:hAnsi="Verdana"/>
          <w:sz w:val="20"/>
          <w:szCs w:val="20"/>
        </w:rPr>
        <w:t>.</w:t>
      </w:r>
    </w:p>
    <w:p w14:paraId="7AA134A7" w14:textId="77777777" w:rsidR="00756B45" w:rsidRDefault="00756B45">
      <w:pPr>
        <w:suppressAutoHyphens w:val="0"/>
        <w:jc w:val="both"/>
        <w:rPr>
          <w:rFonts w:ascii="Verdana" w:hAnsi="Verdana"/>
          <w:bCs/>
        </w:rPr>
      </w:pPr>
    </w:p>
    <w:p w14:paraId="156DE4F4" w14:textId="77777777" w:rsidR="00756B45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/>
          <w:b/>
        </w:rPr>
        <w:t>16. PROVIDÊNCIAS A SEREM ADOTADAS</w:t>
      </w:r>
    </w:p>
    <w:p w14:paraId="33F528E7" w14:textId="77777777" w:rsidR="00756B45" w:rsidRDefault="00000000">
      <w:pPr>
        <w:pStyle w:val="Ttulo4"/>
        <w:rPr>
          <w:rFonts w:ascii="Verdana" w:hAnsi="Verdana"/>
          <w:sz w:val="20"/>
        </w:rPr>
      </w:pPr>
      <w:r>
        <w:rPr>
          <w:rFonts w:ascii="Verdana" w:hAnsi="Verdana"/>
          <w:b/>
          <w:color w:val="000000" w:themeColor="text1"/>
          <w:sz w:val="20"/>
        </w:rPr>
        <w:t>16.1. Gestão e Fiscalização do Contrato</w:t>
      </w:r>
    </w:p>
    <w:p w14:paraId="5F2EEB9A" w14:textId="77777777" w:rsidR="00756B45" w:rsidRDefault="00756B45">
      <w:pPr>
        <w:rPr>
          <w:rFonts w:ascii="Verdana" w:hAnsi="Verdana"/>
        </w:rPr>
      </w:pPr>
    </w:p>
    <w:p w14:paraId="261149F0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Em cumprimento ao </w:t>
      </w:r>
      <w:r>
        <w:rPr>
          <w:rFonts w:ascii="Verdana" w:hAnsi="Verdana"/>
          <w:b/>
          <w:bCs/>
          <w:sz w:val="20"/>
          <w:szCs w:val="20"/>
        </w:rPr>
        <w:t>Art. 117 da Lei nº 14.133/2021</w:t>
      </w:r>
      <w:r>
        <w:rPr>
          <w:rFonts w:ascii="Verdana" w:hAnsi="Verdana"/>
          <w:sz w:val="20"/>
          <w:szCs w:val="20"/>
        </w:rPr>
        <w:t xml:space="preserve">, a Secretaria Municipal de Educação designará, por ato oficial, um agente público para atuar como gestor/fiscal do contrato, auxiliado por fiscais setoriais em cada uma das </w:t>
      </w:r>
      <w:r>
        <w:rPr>
          <w:rFonts w:ascii="Verdana" w:hAnsi="Verdana"/>
          <w:b/>
          <w:bCs/>
          <w:sz w:val="20"/>
          <w:szCs w:val="20"/>
        </w:rPr>
        <w:t>23 unidades (16 urbanas e 07 rurais)</w:t>
      </w:r>
      <w:r>
        <w:rPr>
          <w:rFonts w:ascii="Verdana" w:hAnsi="Verdana"/>
          <w:sz w:val="20"/>
          <w:szCs w:val="20"/>
        </w:rPr>
        <w:t>.</w:t>
      </w:r>
    </w:p>
    <w:p w14:paraId="004E519C" w14:textId="77777777" w:rsidR="00756B45" w:rsidRDefault="00000000">
      <w:pPr>
        <w:pStyle w:val="NormalWeb"/>
        <w:numPr>
          <w:ilvl w:val="0"/>
          <w:numId w:val="20"/>
        </w:numPr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Os fiscais serão responsáveis pelo acompanhamento técnico e registro de ocorrências;</w:t>
      </w:r>
    </w:p>
    <w:p w14:paraId="579D83D8" w14:textId="77777777" w:rsidR="00756B45" w:rsidRDefault="00000000">
      <w:pPr>
        <w:pStyle w:val="NormalWeb"/>
        <w:numPr>
          <w:ilvl w:val="0"/>
          <w:numId w:val="20"/>
        </w:numPr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A conformidade dos serviços e o uso dos produtos corretos deverão ser </w:t>
      </w:r>
      <w:r>
        <w:rPr>
          <w:rFonts w:ascii="Verdana" w:hAnsi="Verdana"/>
          <w:color w:val="000000" w:themeColor="text1"/>
          <w:sz w:val="20"/>
          <w:szCs w:val="20"/>
        </w:rPr>
        <w:t>verificados antes de qualquer ateste de fatura.</w:t>
      </w:r>
    </w:p>
    <w:p w14:paraId="50D7DBD2" w14:textId="77777777" w:rsidR="00756B45" w:rsidRDefault="00756B45">
      <w:pPr>
        <w:pStyle w:val="NormalWeb"/>
        <w:spacing w:beforeAutospacing="0" w:afterAutospacing="0"/>
        <w:ind w:left="720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0418F42A" w14:textId="77777777" w:rsidR="00756B45" w:rsidRDefault="00000000">
      <w:pPr>
        <w:pStyle w:val="Ttulo4"/>
        <w:rPr>
          <w:rFonts w:ascii="Verdana" w:hAnsi="Verdana"/>
          <w:sz w:val="20"/>
        </w:rPr>
      </w:pPr>
      <w:r>
        <w:rPr>
          <w:rFonts w:ascii="Verdana" w:hAnsi="Verdana"/>
          <w:b/>
          <w:color w:val="000000" w:themeColor="text1"/>
          <w:sz w:val="20"/>
        </w:rPr>
        <w:t>16.2. Monitoramento e Controle de Qualidade</w:t>
      </w:r>
    </w:p>
    <w:p w14:paraId="4C5B9FD0" w14:textId="77777777" w:rsidR="00756B45" w:rsidRDefault="00756B45">
      <w:pPr>
        <w:rPr>
          <w:rFonts w:ascii="Verdana" w:hAnsi="Verdana"/>
        </w:rPr>
      </w:pPr>
    </w:p>
    <w:p w14:paraId="720EBD02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Serão adotados protocolos rigorosos para garantir que a contratada mantenha o padrão de execução proposto, incluindo:</w:t>
      </w:r>
    </w:p>
    <w:p w14:paraId="3A75FCBF" w14:textId="77777777" w:rsidR="00756B45" w:rsidRDefault="00756B45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</w:p>
    <w:p w14:paraId="5B6E1183" w14:textId="77777777" w:rsidR="00756B45" w:rsidRDefault="00000000">
      <w:pPr>
        <w:pStyle w:val="NormalWeb"/>
        <w:numPr>
          <w:ilvl w:val="0"/>
          <w:numId w:val="21"/>
        </w:numPr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Uso obrigatório de </w:t>
      </w:r>
      <w:r>
        <w:rPr>
          <w:rFonts w:ascii="Verdana" w:hAnsi="Verdana"/>
          <w:b/>
          <w:bCs/>
          <w:sz w:val="20"/>
          <w:szCs w:val="20"/>
        </w:rPr>
        <w:t>EPIs e EPCs</w:t>
      </w:r>
      <w:r>
        <w:rPr>
          <w:rFonts w:ascii="Verdana" w:hAnsi="Verdana"/>
          <w:sz w:val="20"/>
          <w:szCs w:val="20"/>
        </w:rPr>
        <w:t xml:space="preserve"> adequados por parte da equipe técnica;</w:t>
      </w:r>
    </w:p>
    <w:p w14:paraId="28A2BE89" w14:textId="77777777" w:rsidR="00756B45" w:rsidRDefault="00000000">
      <w:pPr>
        <w:pStyle w:val="NormalWeb"/>
        <w:numPr>
          <w:ilvl w:val="0"/>
          <w:numId w:val="21"/>
        </w:numPr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Utilização exclusiva de insumos registrados na </w:t>
      </w:r>
      <w:r>
        <w:rPr>
          <w:rFonts w:ascii="Verdana" w:hAnsi="Verdana"/>
          <w:b/>
          <w:bCs/>
          <w:sz w:val="20"/>
          <w:szCs w:val="20"/>
        </w:rPr>
        <w:t>ANVISA</w:t>
      </w:r>
      <w:r>
        <w:rPr>
          <w:rFonts w:ascii="Verdana" w:hAnsi="Verdana"/>
          <w:sz w:val="20"/>
          <w:szCs w:val="20"/>
        </w:rPr>
        <w:t>, com apresentação das respectivas fichas técnicas e FISPQs;</w:t>
      </w:r>
    </w:p>
    <w:p w14:paraId="06744F7C" w14:textId="77777777" w:rsidR="00756B45" w:rsidRDefault="00000000">
      <w:pPr>
        <w:pStyle w:val="NormalWeb"/>
        <w:numPr>
          <w:ilvl w:val="0"/>
          <w:numId w:val="21"/>
        </w:numPr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Capacitação comprovada dos técnicos para o Manejo Integrado de Pragas (MIP).</w:t>
      </w:r>
    </w:p>
    <w:p w14:paraId="371A06FD" w14:textId="77777777" w:rsidR="00756B45" w:rsidRDefault="00756B45">
      <w:pPr>
        <w:pStyle w:val="NormalWeb"/>
        <w:spacing w:beforeAutospacing="0" w:afterAutospacing="0"/>
        <w:ind w:left="720"/>
        <w:jc w:val="both"/>
        <w:rPr>
          <w:rFonts w:ascii="Verdana" w:hAnsi="Verdana"/>
          <w:sz w:val="20"/>
          <w:szCs w:val="20"/>
        </w:rPr>
      </w:pPr>
    </w:p>
    <w:p w14:paraId="7C8AE190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Qualquer desconformidade será comunicada formalmente para correção imediata, sob pena de sanções administrativas previstas nos </w:t>
      </w:r>
      <w:r>
        <w:rPr>
          <w:rFonts w:ascii="Verdana" w:hAnsi="Verdana"/>
          <w:b/>
          <w:bCs/>
          <w:iCs/>
          <w:sz w:val="20"/>
          <w:szCs w:val="20"/>
        </w:rPr>
        <w:t>Arts. 155 e seguintes da Lei nº 14.133/2021</w:t>
      </w:r>
      <w:r>
        <w:rPr>
          <w:rFonts w:ascii="Verdana" w:hAnsi="Verdana"/>
          <w:iCs/>
          <w:sz w:val="20"/>
          <w:szCs w:val="20"/>
        </w:rPr>
        <w:t>.</w:t>
      </w:r>
    </w:p>
    <w:p w14:paraId="76FC405A" w14:textId="77777777" w:rsidR="00756B45" w:rsidRDefault="00756B45">
      <w:pPr>
        <w:pStyle w:val="NormalWeb"/>
        <w:spacing w:beforeAutospacing="0" w:afterAutospacing="0"/>
        <w:rPr>
          <w:rFonts w:ascii="Verdana" w:hAnsi="Verdana"/>
          <w:sz w:val="20"/>
          <w:szCs w:val="20"/>
        </w:rPr>
      </w:pPr>
    </w:p>
    <w:p w14:paraId="463DC464" w14:textId="77777777" w:rsidR="00756B45" w:rsidRDefault="00000000">
      <w:pPr>
        <w:pStyle w:val="Ttulo4"/>
        <w:rPr>
          <w:rFonts w:ascii="Verdana" w:hAnsi="Verdana"/>
          <w:sz w:val="20"/>
        </w:rPr>
      </w:pPr>
      <w:r>
        <w:rPr>
          <w:rFonts w:ascii="Verdana" w:hAnsi="Verdana"/>
          <w:b/>
          <w:color w:val="000000" w:themeColor="text1"/>
          <w:sz w:val="20"/>
        </w:rPr>
        <w:t>16.3. Plano de Contingência e Continuidade</w:t>
      </w:r>
    </w:p>
    <w:p w14:paraId="4AA4085E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Em caso de inexecução ou interrupção do serviço, a Administração adotará providências para rescisão e convocação de remanescentes ou nova contratação, visando garantir que as unidades não fiquem desassistidas, preservando a saúde dos alunos e servidores.</w:t>
      </w:r>
    </w:p>
    <w:p w14:paraId="11E1E866" w14:textId="77777777" w:rsidR="00756B45" w:rsidRDefault="00756B45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</w:p>
    <w:p w14:paraId="229D5A43" w14:textId="77777777" w:rsidR="00756B45" w:rsidRDefault="00000000">
      <w:pPr>
        <w:pStyle w:val="Ttulo4"/>
        <w:rPr>
          <w:rFonts w:ascii="Verdana" w:hAnsi="Verdana"/>
          <w:sz w:val="20"/>
        </w:rPr>
      </w:pPr>
      <w:r>
        <w:rPr>
          <w:rFonts w:ascii="Verdana" w:hAnsi="Verdana"/>
          <w:b/>
          <w:color w:val="000000" w:themeColor="text1"/>
          <w:sz w:val="20"/>
        </w:rPr>
        <w:t>16.4. Logística de Acesso e Agendamento</w:t>
      </w:r>
    </w:p>
    <w:p w14:paraId="099C8194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Considerando as particularidades geográficas (unidades a até 35 km da sede), a Secretaria garantirá o livre acesso das equipes às dependências das escolas mediante agendamento prévio. O cronograma deverá ser planejado de forma a </w:t>
      </w:r>
      <w:r>
        <w:rPr>
          <w:rFonts w:ascii="Verdana" w:hAnsi="Verdana"/>
          <w:b/>
          <w:bCs/>
          <w:sz w:val="20"/>
          <w:szCs w:val="20"/>
        </w:rPr>
        <w:t>não interferir nas atividades letivas</w:t>
      </w:r>
      <w:r>
        <w:rPr>
          <w:rFonts w:ascii="Verdana" w:hAnsi="Verdana"/>
          <w:sz w:val="20"/>
          <w:szCs w:val="20"/>
        </w:rPr>
        <w:t>, preferencialmente ocorrendo em finais de semana ou recessos escolares.</w:t>
      </w:r>
    </w:p>
    <w:p w14:paraId="5423B7F2" w14:textId="77777777" w:rsidR="00756B45" w:rsidRDefault="00756B45">
      <w:pPr>
        <w:pStyle w:val="NormalWeb"/>
        <w:spacing w:beforeAutospacing="0" w:afterAutospacing="0"/>
        <w:jc w:val="both"/>
        <w:rPr>
          <w:rFonts w:ascii="Verdana" w:hAnsi="Verdana"/>
          <w:b/>
          <w:sz w:val="20"/>
          <w:szCs w:val="20"/>
        </w:rPr>
      </w:pPr>
    </w:p>
    <w:p w14:paraId="7954AD0E" w14:textId="77777777" w:rsidR="00756B45" w:rsidRDefault="00000000">
      <w:pPr>
        <w:pStyle w:val="Ttulo3"/>
        <w:rPr>
          <w:rFonts w:ascii="Verdana" w:hAnsi="Verdana"/>
        </w:rPr>
      </w:pPr>
      <w:r>
        <w:rPr>
          <w:rFonts w:ascii="Verdana" w:hAnsi="Verdana"/>
          <w:color w:val="000000" w:themeColor="text1"/>
        </w:rPr>
        <w:t>17. POSSÍVEIS IMPACTOS AMBIENTAIS E MEDIDAS MITIGADORAS</w:t>
      </w:r>
    </w:p>
    <w:p w14:paraId="407FF2BD" w14:textId="77777777" w:rsidR="00756B45" w:rsidRDefault="00756B45">
      <w:pPr>
        <w:rPr>
          <w:rFonts w:ascii="Verdana" w:hAnsi="Verdana"/>
        </w:rPr>
      </w:pPr>
    </w:p>
    <w:p w14:paraId="079011DB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 execução dos serviços de Manejo Integrado de Pragas (MIP) apresenta baixo impacto ambiental, desde que observadas as normas técnicas de biossegurança e as diretrizes de sustentabilidade.</w:t>
      </w:r>
    </w:p>
    <w:p w14:paraId="3D09C631" w14:textId="77777777" w:rsidR="00756B45" w:rsidRDefault="00756B45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</w:p>
    <w:p w14:paraId="3B051227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17.1. Medidas de Mitigação e Controle:</w:t>
      </w:r>
      <w:r>
        <w:rPr>
          <w:rFonts w:ascii="Verdana" w:hAnsi="Verdana"/>
          <w:sz w:val="20"/>
          <w:szCs w:val="20"/>
        </w:rPr>
        <w:t xml:space="preserve"> Para anular ou minimizar riscos ao meio ambiente e à saúde humana, a contratada deverá observar:</w:t>
      </w:r>
    </w:p>
    <w:p w14:paraId="4C963F87" w14:textId="77777777" w:rsidR="00756B45" w:rsidRDefault="00000000">
      <w:pPr>
        <w:pStyle w:val="NormalWeb"/>
        <w:numPr>
          <w:ilvl w:val="0"/>
          <w:numId w:val="22"/>
        </w:numPr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Registro e Dosagem:</w:t>
      </w:r>
      <w:r>
        <w:rPr>
          <w:rFonts w:ascii="Verdana" w:hAnsi="Verdana"/>
          <w:sz w:val="20"/>
          <w:szCs w:val="20"/>
        </w:rPr>
        <w:t xml:space="preserve"> Utilização exclusiva de produtos saneantes domissanitários registrados na </w:t>
      </w:r>
      <w:r>
        <w:rPr>
          <w:rFonts w:ascii="Verdana" w:hAnsi="Verdana"/>
          <w:b/>
          <w:bCs/>
          <w:sz w:val="20"/>
          <w:szCs w:val="20"/>
        </w:rPr>
        <w:t>ANVISA</w:t>
      </w:r>
      <w:r>
        <w:rPr>
          <w:rFonts w:ascii="Verdana" w:hAnsi="Verdana"/>
          <w:sz w:val="20"/>
          <w:szCs w:val="20"/>
        </w:rPr>
        <w:t>, com aplicação rigorosa conforme as instruções dos fabricantes e normas técnicas da ABNT;</w:t>
      </w:r>
    </w:p>
    <w:p w14:paraId="3B100452" w14:textId="77777777" w:rsidR="00756B45" w:rsidRDefault="00000000">
      <w:pPr>
        <w:pStyle w:val="NormalWeb"/>
        <w:numPr>
          <w:ilvl w:val="0"/>
          <w:numId w:val="22"/>
        </w:numPr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Gestão de Resíduos:</w:t>
      </w:r>
      <w:r>
        <w:rPr>
          <w:rFonts w:ascii="Verdana" w:hAnsi="Verdana"/>
          <w:sz w:val="20"/>
          <w:szCs w:val="20"/>
        </w:rPr>
        <w:t xml:space="preserve"> Coleta e destinação adequada de embalagens vazias e resíduos químicos, em total conformidade com a </w:t>
      </w:r>
      <w:r>
        <w:rPr>
          <w:rFonts w:ascii="Verdana" w:hAnsi="Verdana"/>
          <w:b/>
          <w:bCs/>
          <w:sz w:val="20"/>
          <w:szCs w:val="20"/>
        </w:rPr>
        <w:t>Política Nacional de Resíduos Sólidos (Lei nº 12.305/2010)</w:t>
      </w:r>
      <w:r>
        <w:rPr>
          <w:rFonts w:ascii="Verdana" w:hAnsi="Verdana"/>
          <w:sz w:val="20"/>
          <w:szCs w:val="20"/>
        </w:rPr>
        <w:t xml:space="preserve"> e o sistema de logística reversa, quando aplicável;</w:t>
      </w:r>
    </w:p>
    <w:p w14:paraId="7082954D" w14:textId="77777777" w:rsidR="00756B45" w:rsidRDefault="00000000">
      <w:pPr>
        <w:pStyle w:val="NormalWeb"/>
        <w:numPr>
          <w:ilvl w:val="0"/>
          <w:numId w:val="22"/>
        </w:numPr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Proteção Individual e Coletiva:</w:t>
      </w:r>
      <w:r>
        <w:rPr>
          <w:rFonts w:ascii="Verdana" w:hAnsi="Verdana"/>
          <w:sz w:val="20"/>
          <w:szCs w:val="20"/>
        </w:rPr>
        <w:t xml:space="preserve"> Uso obrigatório de EPIs e EPCs pela equipe técnica, evitando dispersão indevida de substâncias no solo ou recursos hídricos;</w:t>
      </w:r>
    </w:p>
    <w:p w14:paraId="5CA6B12B" w14:textId="77777777" w:rsidR="00756B45" w:rsidRDefault="00000000">
      <w:pPr>
        <w:pStyle w:val="NormalWeb"/>
        <w:numPr>
          <w:ilvl w:val="0"/>
          <w:numId w:val="22"/>
        </w:numPr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Métodos Seletivos:</w:t>
      </w:r>
      <w:r>
        <w:rPr>
          <w:rFonts w:ascii="Verdana" w:hAnsi="Verdana"/>
          <w:sz w:val="20"/>
          <w:szCs w:val="20"/>
        </w:rPr>
        <w:t xml:space="preserve"> Adoção de técnicas que priorizem a aplicação focal (gel, iscas) em detrimento da pulverização generalizada sempre que tecnicamente possível.</w:t>
      </w:r>
    </w:p>
    <w:p w14:paraId="01E7A4C1" w14:textId="77777777" w:rsidR="00756B45" w:rsidRDefault="00756B45">
      <w:pPr>
        <w:pStyle w:val="NormalWeb"/>
        <w:spacing w:beforeAutospacing="0" w:afterAutospacing="0"/>
        <w:ind w:left="720"/>
        <w:jc w:val="both"/>
        <w:rPr>
          <w:rFonts w:ascii="Verdana" w:hAnsi="Verdana"/>
          <w:sz w:val="20"/>
          <w:szCs w:val="20"/>
        </w:rPr>
      </w:pPr>
    </w:p>
    <w:p w14:paraId="2EA82355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17.2. Conformidade e Viabilidade Ambiental:</w:t>
      </w:r>
      <w:r>
        <w:rPr>
          <w:rFonts w:ascii="Verdana" w:hAnsi="Verdana"/>
          <w:sz w:val="20"/>
          <w:szCs w:val="20"/>
        </w:rPr>
        <w:t xml:space="preserve"> Conclui-se que a contratação é ambientalmente viável e segura. Em conformidade com o </w:t>
      </w:r>
      <w:r>
        <w:rPr>
          <w:rFonts w:ascii="Verdana" w:hAnsi="Verdana"/>
          <w:b/>
          <w:bCs/>
          <w:sz w:val="20"/>
          <w:szCs w:val="20"/>
        </w:rPr>
        <w:t>Art. 5º da Lei nº 14.133/2021</w:t>
      </w:r>
      <w:r>
        <w:rPr>
          <w:rFonts w:ascii="Verdana" w:hAnsi="Verdana"/>
          <w:sz w:val="20"/>
          <w:szCs w:val="20"/>
        </w:rPr>
        <w:t>, a comprovação da adoção dessas práticas sustentáveis será condição obrigatória para a medição e o ateste dos serviços. A fiscalização exigirá, junto aos relatórios de execução, a comprovação do descarte regular dos resíduos químicos gerados durante a operação em todas as unidades (urbanas e rurais).</w:t>
      </w:r>
    </w:p>
    <w:p w14:paraId="03603599" w14:textId="77777777" w:rsidR="00756B45" w:rsidRDefault="00756B45">
      <w:pPr>
        <w:jc w:val="both"/>
        <w:rPr>
          <w:rFonts w:ascii="Verdana" w:hAnsi="Verdana"/>
        </w:rPr>
      </w:pPr>
    </w:p>
    <w:p w14:paraId="1CF4DE2A" w14:textId="77777777" w:rsidR="00756B45" w:rsidRDefault="00000000">
      <w:pPr>
        <w:pStyle w:val="Ttulo3"/>
        <w:rPr>
          <w:rFonts w:ascii="Verdana" w:hAnsi="Verdana"/>
        </w:rPr>
      </w:pPr>
      <w:r>
        <w:rPr>
          <w:rFonts w:ascii="Verdana" w:hAnsi="Verdana"/>
          <w:color w:val="000000" w:themeColor="text1"/>
        </w:rPr>
        <w:t>18. DECLARAÇÃO DE VIABILIDADE</w:t>
      </w:r>
    </w:p>
    <w:p w14:paraId="78FBB1D8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18.1. Conclusão Técnica:</w:t>
      </w:r>
      <w:r>
        <w:rPr>
          <w:rFonts w:ascii="Verdana" w:hAnsi="Verdana"/>
          <w:sz w:val="20"/>
          <w:szCs w:val="20"/>
        </w:rPr>
        <w:t xml:space="preserve"> Com base nas análises técnicas, logísticas e econômicas registradas neste Estudo Técnico Preliminar, a equipe de planejamento declara a </w:t>
      </w:r>
      <w:r>
        <w:rPr>
          <w:rFonts w:ascii="Verdana" w:hAnsi="Verdana"/>
          <w:b/>
          <w:bCs/>
          <w:sz w:val="20"/>
          <w:szCs w:val="20"/>
        </w:rPr>
        <w:t>viabilidade plena</w:t>
      </w:r>
      <w:r>
        <w:rPr>
          <w:rFonts w:ascii="Verdana" w:hAnsi="Verdana"/>
          <w:sz w:val="20"/>
          <w:szCs w:val="20"/>
        </w:rPr>
        <w:t xml:space="preserve"> da </w:t>
      </w:r>
      <w:r>
        <w:rPr>
          <w:rFonts w:ascii="Verdana" w:hAnsi="Verdana"/>
          <w:sz w:val="20"/>
          <w:szCs w:val="20"/>
        </w:rPr>
        <w:lastRenderedPageBreak/>
        <w:t>contratação da prestação de serviços especializados de Manejo Integrado de Pragas (MIP) nas unidades escolares e administrativas da Rede Municipal de Ensino.</w:t>
      </w:r>
    </w:p>
    <w:p w14:paraId="6AE29B56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18.2. Interesse Público e Custo-Benefício:</w:t>
      </w:r>
      <w:r>
        <w:rPr>
          <w:rFonts w:ascii="Verdana" w:hAnsi="Verdana"/>
          <w:sz w:val="20"/>
          <w:szCs w:val="20"/>
        </w:rPr>
        <w:t xml:space="preserve"> A solução proposta mostra-se adequada e necessária para o atendimento do interesse público, garantindo ambientes escolares higienizados, seguros e livres de vetores. A metodologia de precificação diferenciada para a zona rural e o agrupamento em lote único apresentam o melhor custo-benefício, alinhando-se aos princípios da eficiência, economicidade e continuidade do serviço público.</w:t>
      </w:r>
    </w:p>
    <w:p w14:paraId="126E136D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18.3. Recomendação Final:</w:t>
      </w:r>
      <w:r>
        <w:rPr>
          <w:rFonts w:ascii="Verdana" w:hAnsi="Verdana"/>
          <w:sz w:val="20"/>
          <w:szCs w:val="20"/>
        </w:rPr>
        <w:t xml:space="preserve"> Diante do exposto, e em conformidade com o </w:t>
      </w:r>
      <w:r>
        <w:rPr>
          <w:rFonts w:ascii="Verdana" w:hAnsi="Verdana"/>
          <w:b/>
          <w:bCs/>
          <w:sz w:val="20"/>
          <w:szCs w:val="20"/>
        </w:rPr>
        <w:t>Art. 18, § 1º, inciso XIII, da Lei nº 14.133/2021</w:t>
      </w:r>
      <w:r>
        <w:rPr>
          <w:rFonts w:ascii="Verdana" w:hAnsi="Verdana"/>
          <w:sz w:val="20"/>
          <w:szCs w:val="20"/>
        </w:rPr>
        <w:t xml:space="preserve">, esta equipe técnica recomenda o prosseguimento do feito para a fase de elaboração do </w:t>
      </w:r>
      <w:r>
        <w:rPr>
          <w:rFonts w:ascii="Verdana" w:hAnsi="Verdana"/>
          <w:b/>
          <w:bCs/>
          <w:sz w:val="20"/>
          <w:szCs w:val="20"/>
        </w:rPr>
        <w:t>Termo de Referência</w:t>
      </w:r>
      <w:r>
        <w:rPr>
          <w:rFonts w:ascii="Verdana" w:hAnsi="Verdana"/>
          <w:sz w:val="20"/>
          <w:szCs w:val="20"/>
        </w:rPr>
        <w:t>, assegurando que a futura contratação siga rigorosamente as diretrizes técnicas, de segurança e ambientais aqui estabelecidas.</w:t>
      </w:r>
    </w:p>
    <w:p w14:paraId="23EC06B4" w14:textId="77777777" w:rsidR="00756B45" w:rsidRDefault="00756B45">
      <w:pPr>
        <w:pStyle w:val="NormalWeb"/>
        <w:spacing w:beforeAutospacing="0" w:afterAutospacing="0"/>
        <w:jc w:val="both"/>
        <w:rPr>
          <w:rFonts w:ascii="Verdana" w:hAnsi="Verdana"/>
          <w:b/>
          <w:sz w:val="20"/>
          <w:szCs w:val="20"/>
        </w:rPr>
      </w:pPr>
    </w:p>
    <w:p w14:paraId="30C9F385" w14:textId="77777777" w:rsidR="00756B45" w:rsidRDefault="00000000">
      <w:pPr>
        <w:pStyle w:val="Ttulo3"/>
        <w:rPr>
          <w:rFonts w:ascii="Verdana" w:hAnsi="Verdana"/>
        </w:rPr>
      </w:pPr>
      <w:r>
        <w:rPr>
          <w:rFonts w:ascii="Verdana" w:hAnsi="Verdana"/>
          <w:color w:val="000000" w:themeColor="text1"/>
        </w:rPr>
        <w:t>19. POSICIONAMENTO QUANTO À VIABILIDADE DA CONTRATAÇÃO</w:t>
      </w:r>
    </w:p>
    <w:p w14:paraId="4E8FFDC6" w14:textId="77777777" w:rsidR="00756B45" w:rsidRDefault="00000000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Considerando o levantamento de mercado realizado, a fundamentação legal baseada na </w:t>
      </w:r>
      <w:r>
        <w:rPr>
          <w:rFonts w:ascii="Verdana" w:hAnsi="Verdana"/>
          <w:b/>
          <w:bCs/>
          <w:sz w:val="20"/>
          <w:szCs w:val="20"/>
        </w:rPr>
        <w:t>Lei nº 14.133/2021</w:t>
      </w:r>
      <w:r>
        <w:rPr>
          <w:rFonts w:ascii="Verdana" w:hAnsi="Verdana"/>
          <w:sz w:val="20"/>
          <w:szCs w:val="20"/>
        </w:rPr>
        <w:t xml:space="preserve"> e a essencialidade do serviço para a manutenção das condições de higiene e saúde pública nas </w:t>
      </w:r>
      <w:r>
        <w:rPr>
          <w:rFonts w:ascii="Verdana" w:hAnsi="Verdana"/>
          <w:b/>
          <w:bCs/>
          <w:sz w:val="20"/>
          <w:szCs w:val="20"/>
        </w:rPr>
        <w:t>Unidades Escolares da Zona Urbana e Zona Rural</w:t>
      </w:r>
      <w:r>
        <w:rPr>
          <w:rFonts w:ascii="Verdana" w:hAnsi="Verdana"/>
          <w:sz w:val="20"/>
          <w:szCs w:val="20"/>
        </w:rPr>
        <w:t xml:space="preserve">, bem como na </w:t>
      </w:r>
      <w:r>
        <w:rPr>
          <w:rFonts w:ascii="Verdana" w:hAnsi="Verdana"/>
          <w:b/>
          <w:bCs/>
          <w:sz w:val="20"/>
          <w:szCs w:val="20"/>
        </w:rPr>
        <w:t>sede administrativa da SEMED (Secretaria Municipal de Educação)</w:t>
      </w:r>
      <w:r>
        <w:rPr>
          <w:rFonts w:ascii="Verdana" w:hAnsi="Verdana"/>
          <w:sz w:val="20"/>
          <w:szCs w:val="20"/>
        </w:rPr>
        <w:t xml:space="preserve"> de São Gabriel da Palha, esta Secretaria declara a viabilidade plena da contratação.</w:t>
      </w:r>
    </w:p>
    <w:p w14:paraId="05076136" w14:textId="77777777" w:rsidR="00756B45" w:rsidRDefault="00756B45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</w:p>
    <w:p w14:paraId="072904A6" w14:textId="77777777" w:rsidR="00756B45" w:rsidRDefault="00000000">
      <w:pPr>
        <w:pStyle w:val="NormalWeb"/>
        <w:spacing w:beforeAutospacing="0" w:afterAutospacing="0"/>
        <w:jc w:val="both"/>
      </w:pPr>
      <w:r>
        <w:rPr>
          <w:rFonts w:ascii="Verdana" w:hAnsi="Verdana"/>
          <w:sz w:val="20"/>
          <w:szCs w:val="20"/>
        </w:rPr>
        <w:t>A estratégia de precificação baseada na métrica por metro quadrado (</w:t>
      </w:r>
      <w:r>
        <w:rPr>
          <w:rStyle w:val="math-inline"/>
          <w:rFonts w:ascii="Verdana" w:hAnsi="Verdana"/>
          <w:sz w:val="20"/>
          <w:szCs w:val="20"/>
        </w:rPr>
        <w:t>$m²$</w:t>
      </w:r>
      <w:r>
        <w:rPr>
          <w:rFonts w:ascii="Verdana" w:hAnsi="Verdana"/>
          <w:sz w:val="20"/>
          <w:szCs w:val="20"/>
        </w:rPr>
        <w:t xml:space="preserve">), com a correta distinção de custos logísticos para as diferentes áreas geográficas, consolidada em uma </w:t>
      </w:r>
      <w:r>
        <w:rPr>
          <w:rFonts w:ascii="Verdana" w:hAnsi="Verdana"/>
          <w:b/>
          <w:bCs/>
          <w:sz w:val="20"/>
          <w:szCs w:val="20"/>
        </w:rPr>
        <w:t>contratação global (Lote Único)</w:t>
      </w:r>
      <w:r>
        <w:rPr>
          <w:rFonts w:ascii="Verdana" w:hAnsi="Verdana"/>
          <w:sz w:val="20"/>
          <w:szCs w:val="20"/>
        </w:rPr>
        <w:t>, garante a justiça nos preços e a máxima eficiência operacional. Tal solução apresenta-se como a mais vantajosa para o interesse público, assegurando um ambiente seguro e salubre para todos os alunos, professores e servidores municipais.</w:t>
      </w:r>
    </w:p>
    <w:p w14:paraId="4BA41857" w14:textId="77777777" w:rsidR="00756B45" w:rsidRDefault="00756B45">
      <w:pPr>
        <w:pStyle w:val="NormalWeb"/>
        <w:spacing w:beforeAutospacing="0" w:afterAutospacing="0"/>
        <w:jc w:val="both"/>
        <w:rPr>
          <w:rFonts w:ascii="Verdana" w:hAnsi="Verdana"/>
          <w:sz w:val="20"/>
          <w:szCs w:val="20"/>
        </w:rPr>
      </w:pPr>
    </w:p>
    <w:p w14:paraId="714698BF" w14:textId="77777777" w:rsidR="00756B45" w:rsidRDefault="00000000">
      <w:pPr>
        <w:pStyle w:val="Ttulo3"/>
        <w:rPr>
          <w:rFonts w:ascii="Verdana" w:hAnsi="Verdana"/>
        </w:rPr>
      </w:pPr>
      <w:r>
        <w:rPr>
          <w:rFonts w:ascii="Verdana" w:hAnsi="Verdana"/>
          <w:color w:val="000000" w:themeColor="text1"/>
        </w:rPr>
        <w:t>20. DOTAÇÃO ORÇAMENTÁRIA</w:t>
      </w:r>
    </w:p>
    <w:p w14:paraId="3C5EBABE" w14:textId="77777777" w:rsidR="00756B45" w:rsidRDefault="00000000">
      <w:pPr>
        <w:pStyle w:val="NormalWeb"/>
        <w:spacing w:beforeAutospacing="0" w:afterAutospacing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20.1.</w:t>
      </w:r>
      <w:r>
        <w:rPr>
          <w:rFonts w:ascii="Verdana" w:hAnsi="Verdana"/>
          <w:sz w:val="20"/>
          <w:szCs w:val="20"/>
        </w:rPr>
        <w:t xml:space="preserve"> As despesas para o atendimento desta contratação correrão à conta das seguintes dotações, conforme disponibilidade orçamentária da Secretaria Municipal de Educação:</w:t>
      </w:r>
    </w:p>
    <w:p w14:paraId="192EDF78" w14:textId="77777777" w:rsidR="00756B45" w:rsidRDefault="00000000">
      <w:pPr>
        <w:pStyle w:val="NormalWeb"/>
        <w:numPr>
          <w:ilvl w:val="0"/>
          <w:numId w:val="23"/>
        </w:numPr>
        <w:spacing w:beforeAutospacing="0" w:afterAutospacing="0"/>
        <w:ind w:left="36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Fichas nº:</w:t>
      </w:r>
      <w:r>
        <w:rPr>
          <w:rFonts w:ascii="Verdana" w:hAnsi="Verdana"/>
          <w:sz w:val="20"/>
          <w:szCs w:val="20"/>
        </w:rPr>
        <w:t xml:space="preserve"> 585, 616 e 633- </w:t>
      </w:r>
      <w:r>
        <w:rPr>
          <w:rFonts w:ascii="Verdana" w:hAnsi="Verdana"/>
          <w:b/>
          <w:bCs/>
          <w:sz w:val="20"/>
          <w:szCs w:val="20"/>
        </w:rPr>
        <w:t>Fonte nº:</w:t>
      </w:r>
      <w:r>
        <w:rPr>
          <w:rFonts w:ascii="Verdana" w:hAnsi="Verdana"/>
          <w:sz w:val="20"/>
          <w:szCs w:val="20"/>
        </w:rPr>
        <w:t xml:space="preserve"> 15000025.</w:t>
      </w:r>
    </w:p>
    <w:p w14:paraId="363FCD45" w14:textId="77777777" w:rsidR="00756B45" w:rsidRDefault="00756B45">
      <w:pPr>
        <w:jc w:val="right"/>
        <w:rPr>
          <w:rFonts w:ascii="Verdana" w:hAnsi="Verdana"/>
        </w:rPr>
      </w:pPr>
    </w:p>
    <w:p w14:paraId="48B29F44" w14:textId="77777777" w:rsidR="00756B45" w:rsidRDefault="00000000">
      <w:pPr>
        <w:jc w:val="right"/>
        <w:rPr>
          <w:rFonts w:ascii="Verdana" w:hAnsi="Verdana"/>
        </w:rPr>
      </w:pPr>
      <w:r>
        <w:rPr>
          <w:rFonts w:ascii="Verdana" w:hAnsi="Verdana"/>
        </w:rPr>
        <w:t xml:space="preserve">São Gabriel da Palha – ES, 09 de março de 2026. </w:t>
      </w:r>
    </w:p>
    <w:p w14:paraId="0794CD52" w14:textId="77777777" w:rsidR="00756B45" w:rsidRDefault="00756B45">
      <w:pPr>
        <w:jc w:val="right"/>
        <w:rPr>
          <w:rFonts w:ascii="Verdana" w:hAnsi="Verdana"/>
        </w:rPr>
      </w:pPr>
    </w:p>
    <w:p w14:paraId="72957F8E" w14:textId="77777777" w:rsidR="00756B45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/>
          <w:b/>
        </w:rPr>
        <w:t>21. RESPONSÁVEIS</w:t>
      </w:r>
    </w:p>
    <w:p w14:paraId="6C4B5056" w14:textId="77777777" w:rsidR="00756B45" w:rsidRDefault="00756B45">
      <w:pPr>
        <w:sectPr w:rsidR="00756B4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40" w:right="1080" w:bottom="1276" w:left="1080" w:header="708" w:footer="0" w:gutter="0"/>
          <w:cols w:space="720"/>
          <w:formProt w:val="0"/>
          <w:docGrid w:linePitch="360" w:charSpace="9011"/>
        </w:sectPr>
      </w:pPr>
    </w:p>
    <w:p w14:paraId="2055E6DC" w14:textId="77777777" w:rsidR="00756B45" w:rsidRDefault="00756B45">
      <w:pPr>
        <w:suppressAutoHyphens w:val="0"/>
        <w:jc w:val="both"/>
        <w:rPr>
          <w:rFonts w:ascii="Verdana" w:hAnsi="Verdana"/>
          <w:b/>
        </w:rPr>
      </w:pPr>
    </w:p>
    <w:p w14:paraId="1A8643E4" w14:textId="77777777" w:rsidR="00756B45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/>
          <w:b/>
        </w:rPr>
        <w:t>Elaborado por:</w:t>
      </w:r>
    </w:p>
    <w:p w14:paraId="2BE73D9F" w14:textId="77777777" w:rsidR="00756B45" w:rsidRDefault="00756B45">
      <w:pPr>
        <w:rPr>
          <w:rFonts w:ascii="Verdana" w:hAnsi="Verdana"/>
          <w:b/>
        </w:rPr>
      </w:pPr>
    </w:p>
    <w:p w14:paraId="6133D4A7" w14:textId="77777777" w:rsidR="00756B45" w:rsidRDefault="00756B45">
      <w:pPr>
        <w:rPr>
          <w:rFonts w:ascii="Verdana" w:hAnsi="Verdana"/>
          <w:b/>
        </w:rPr>
      </w:pPr>
    </w:p>
    <w:p w14:paraId="1C71E6FB" w14:textId="77777777" w:rsidR="00756B45" w:rsidRDefault="00756B45">
      <w:pPr>
        <w:rPr>
          <w:rFonts w:ascii="Verdana" w:hAnsi="Verdana"/>
          <w:b/>
        </w:rPr>
      </w:pPr>
    </w:p>
    <w:p w14:paraId="58B6FCA1" w14:textId="77777777" w:rsidR="00756B45" w:rsidRDefault="00000000">
      <w:pPr>
        <w:rPr>
          <w:rFonts w:ascii="Verdana" w:hAnsi="Verdana"/>
        </w:rPr>
      </w:pPr>
      <w:r>
        <w:rPr>
          <w:rFonts w:ascii="Verdana" w:hAnsi="Verdana"/>
          <w:b/>
          <w:bCs/>
        </w:rPr>
        <w:t>João Batista Antunes de Paulo</w:t>
      </w:r>
    </w:p>
    <w:p w14:paraId="7F069755" w14:textId="77777777" w:rsidR="00756B45" w:rsidRDefault="00000000">
      <w:pPr>
        <w:rPr>
          <w:rFonts w:ascii="Verdana" w:hAnsi="Verdana"/>
        </w:rPr>
      </w:pPr>
      <w:r>
        <w:rPr>
          <w:rFonts w:ascii="Verdana" w:hAnsi="Verdana"/>
        </w:rPr>
        <w:t xml:space="preserve">     Assistente Administrativo</w:t>
      </w:r>
    </w:p>
    <w:p w14:paraId="3AE898D5" w14:textId="77777777" w:rsidR="00756B45" w:rsidRDefault="00000000">
      <w:pPr>
        <w:tabs>
          <w:tab w:val="left" w:pos="4320"/>
          <w:tab w:val="center" w:pos="4873"/>
        </w:tabs>
        <w:rPr>
          <w:rFonts w:ascii="Verdana" w:hAnsi="Verdana"/>
        </w:rPr>
      </w:pPr>
      <w:r>
        <w:rPr>
          <w:rFonts w:ascii="Verdana" w:hAnsi="Verdana"/>
        </w:rPr>
        <w:t xml:space="preserve">             Mat. nº 9736</w:t>
      </w:r>
    </w:p>
    <w:p w14:paraId="083BEE16" w14:textId="77777777" w:rsidR="00756B45" w:rsidRDefault="00756B45">
      <w:pPr>
        <w:rPr>
          <w:rFonts w:ascii="Verdana" w:eastAsia="Arial" w:hAnsi="Verdana"/>
          <w:b/>
        </w:rPr>
      </w:pPr>
    </w:p>
    <w:p w14:paraId="7E297923" w14:textId="77777777" w:rsidR="00756B45" w:rsidRDefault="00756B45">
      <w:pPr>
        <w:rPr>
          <w:rFonts w:ascii="Verdana" w:eastAsia="Arial" w:hAnsi="Verdana"/>
          <w:b/>
        </w:rPr>
      </w:pPr>
    </w:p>
    <w:p w14:paraId="181927EE" w14:textId="77777777" w:rsidR="00756B45" w:rsidRDefault="00756B45">
      <w:pPr>
        <w:rPr>
          <w:rFonts w:ascii="Verdana" w:eastAsia="Arial" w:hAnsi="Verdana"/>
          <w:b/>
        </w:rPr>
      </w:pPr>
    </w:p>
    <w:p w14:paraId="181DA4D0" w14:textId="77777777" w:rsidR="00756B45" w:rsidRDefault="00756B45">
      <w:pPr>
        <w:rPr>
          <w:rFonts w:ascii="Verdana" w:eastAsia="Arial" w:hAnsi="Verdana"/>
          <w:b/>
        </w:rPr>
      </w:pPr>
    </w:p>
    <w:p w14:paraId="444880C0" w14:textId="77777777" w:rsidR="00756B45" w:rsidRDefault="00756B45">
      <w:pPr>
        <w:rPr>
          <w:rFonts w:ascii="Verdana" w:eastAsia="Arial" w:hAnsi="Verdana"/>
          <w:b/>
        </w:rPr>
      </w:pPr>
    </w:p>
    <w:p w14:paraId="2C8020A4" w14:textId="77777777" w:rsidR="00756B45" w:rsidRDefault="00756B45">
      <w:pPr>
        <w:rPr>
          <w:rFonts w:ascii="Verdana" w:eastAsia="Arial" w:hAnsi="Verdana"/>
          <w:b/>
        </w:rPr>
      </w:pPr>
    </w:p>
    <w:p w14:paraId="4A70F3B7" w14:textId="77777777" w:rsidR="00756B45" w:rsidRDefault="00756B45">
      <w:pPr>
        <w:rPr>
          <w:rFonts w:ascii="Verdana" w:eastAsia="Arial" w:hAnsi="Verdana"/>
          <w:b/>
        </w:rPr>
      </w:pPr>
    </w:p>
    <w:p w14:paraId="6A429FE6" w14:textId="77777777" w:rsidR="00756B45" w:rsidRDefault="00756B45">
      <w:pPr>
        <w:rPr>
          <w:rFonts w:ascii="Verdana" w:eastAsia="Arial" w:hAnsi="Verdana"/>
          <w:b/>
        </w:rPr>
      </w:pPr>
    </w:p>
    <w:p w14:paraId="18FD3464" w14:textId="77777777" w:rsidR="00756B45" w:rsidRDefault="00756B45">
      <w:pPr>
        <w:rPr>
          <w:rFonts w:ascii="Verdana" w:eastAsia="Arial" w:hAnsi="Verdana"/>
          <w:b/>
        </w:rPr>
      </w:pPr>
    </w:p>
    <w:p w14:paraId="44CFA124" w14:textId="77777777" w:rsidR="00756B45" w:rsidRDefault="00756B45">
      <w:pPr>
        <w:rPr>
          <w:rFonts w:ascii="Verdana" w:eastAsia="Arial" w:hAnsi="Verdana"/>
          <w:b/>
        </w:rPr>
      </w:pPr>
    </w:p>
    <w:p w14:paraId="6C65C07C" w14:textId="77777777" w:rsidR="00756B45" w:rsidRDefault="00756B45">
      <w:pPr>
        <w:rPr>
          <w:rFonts w:ascii="Verdana" w:eastAsia="Arial" w:hAnsi="Verdana"/>
          <w:b/>
        </w:rPr>
      </w:pPr>
    </w:p>
    <w:p w14:paraId="16965028" w14:textId="77777777" w:rsidR="00756B45" w:rsidRDefault="00756B45">
      <w:pPr>
        <w:rPr>
          <w:rFonts w:ascii="Verdana" w:eastAsia="Arial" w:hAnsi="Verdana"/>
          <w:b/>
        </w:rPr>
      </w:pPr>
    </w:p>
    <w:p w14:paraId="1F8DD2CB" w14:textId="77777777" w:rsidR="00756B45" w:rsidRDefault="00756B45">
      <w:pPr>
        <w:rPr>
          <w:rFonts w:ascii="Verdana" w:eastAsia="Arial" w:hAnsi="Verdana"/>
          <w:b/>
        </w:rPr>
      </w:pPr>
    </w:p>
    <w:p w14:paraId="1EDC7B6F" w14:textId="77777777" w:rsidR="00756B45" w:rsidRDefault="00756B45">
      <w:pPr>
        <w:rPr>
          <w:rFonts w:ascii="Verdana" w:eastAsia="Arial" w:hAnsi="Verdana"/>
          <w:b/>
        </w:rPr>
      </w:pPr>
    </w:p>
    <w:p w14:paraId="0B7801F5" w14:textId="77777777" w:rsidR="00756B45" w:rsidRDefault="00756B45">
      <w:pPr>
        <w:rPr>
          <w:rFonts w:ascii="Verdana" w:eastAsia="Arial" w:hAnsi="Verdana"/>
          <w:b/>
        </w:rPr>
      </w:pPr>
    </w:p>
    <w:p w14:paraId="15EFC310" w14:textId="77777777" w:rsidR="00756B45" w:rsidRDefault="00756B45">
      <w:pPr>
        <w:rPr>
          <w:rFonts w:ascii="Verdana" w:eastAsia="Arial" w:hAnsi="Verdana"/>
          <w:b/>
        </w:rPr>
      </w:pPr>
    </w:p>
    <w:p w14:paraId="2A1AF2FD" w14:textId="77777777" w:rsidR="00756B45" w:rsidRDefault="00756B45">
      <w:pPr>
        <w:rPr>
          <w:rFonts w:ascii="Verdana" w:eastAsia="Arial" w:hAnsi="Verdana"/>
          <w:b/>
        </w:rPr>
      </w:pPr>
    </w:p>
    <w:p w14:paraId="66E893E6" w14:textId="77777777" w:rsidR="00756B45" w:rsidRDefault="00756B45">
      <w:pPr>
        <w:rPr>
          <w:rFonts w:ascii="Verdana" w:eastAsia="Arial" w:hAnsi="Verdana"/>
          <w:b/>
        </w:rPr>
      </w:pPr>
    </w:p>
    <w:p w14:paraId="037EBD0B" w14:textId="77777777" w:rsidR="00756B45" w:rsidRDefault="00756B45">
      <w:pPr>
        <w:rPr>
          <w:rFonts w:ascii="Verdana" w:eastAsia="Arial" w:hAnsi="Verdana"/>
          <w:b/>
        </w:rPr>
      </w:pPr>
    </w:p>
    <w:p w14:paraId="30270459" w14:textId="77777777" w:rsidR="00756B45" w:rsidRDefault="00756B45">
      <w:pPr>
        <w:rPr>
          <w:rFonts w:ascii="Verdana" w:eastAsia="Arial" w:hAnsi="Verdana"/>
          <w:b/>
        </w:rPr>
      </w:pPr>
    </w:p>
    <w:p w14:paraId="63DE8A65" w14:textId="77777777" w:rsidR="00756B45" w:rsidRDefault="00756B45">
      <w:pPr>
        <w:rPr>
          <w:rFonts w:ascii="Verdana" w:eastAsia="Arial" w:hAnsi="Verdana"/>
          <w:b/>
        </w:rPr>
      </w:pPr>
    </w:p>
    <w:p w14:paraId="6B702A24" w14:textId="77777777" w:rsidR="00756B45" w:rsidRDefault="00756B45">
      <w:pPr>
        <w:rPr>
          <w:rFonts w:ascii="Verdana" w:eastAsia="Arial" w:hAnsi="Verdana"/>
          <w:b/>
        </w:rPr>
      </w:pPr>
    </w:p>
    <w:p w14:paraId="490DA508" w14:textId="77777777" w:rsidR="00756B45" w:rsidRDefault="00756B45">
      <w:pPr>
        <w:rPr>
          <w:rFonts w:ascii="Verdana" w:eastAsia="Arial" w:hAnsi="Verdana"/>
          <w:b/>
        </w:rPr>
      </w:pPr>
    </w:p>
    <w:p w14:paraId="2B810AC9" w14:textId="77777777" w:rsidR="00756B45" w:rsidRDefault="00756B45">
      <w:pPr>
        <w:rPr>
          <w:rFonts w:ascii="Verdana" w:eastAsia="Arial" w:hAnsi="Verdana"/>
          <w:b/>
        </w:rPr>
      </w:pPr>
    </w:p>
    <w:p w14:paraId="1087838F" w14:textId="77777777" w:rsidR="00756B45" w:rsidRDefault="00756B45">
      <w:pPr>
        <w:rPr>
          <w:rFonts w:ascii="Verdana" w:eastAsia="Arial" w:hAnsi="Verdana"/>
          <w:b/>
        </w:rPr>
      </w:pPr>
    </w:p>
    <w:p w14:paraId="39CEC3D1" w14:textId="77777777" w:rsidR="00756B45" w:rsidRDefault="00756B45">
      <w:pPr>
        <w:rPr>
          <w:rFonts w:ascii="Verdana" w:eastAsia="Arial" w:hAnsi="Verdana"/>
          <w:b/>
        </w:rPr>
      </w:pPr>
    </w:p>
    <w:p w14:paraId="4C3AEB9D" w14:textId="77777777" w:rsidR="00756B45" w:rsidRDefault="00756B45">
      <w:pPr>
        <w:rPr>
          <w:rFonts w:ascii="Verdana" w:eastAsia="Arial" w:hAnsi="Verdana"/>
          <w:b/>
        </w:rPr>
      </w:pPr>
    </w:p>
    <w:p w14:paraId="0B6DB2D7" w14:textId="77777777" w:rsidR="00756B45" w:rsidRDefault="00756B45">
      <w:pPr>
        <w:rPr>
          <w:rFonts w:ascii="Verdana" w:eastAsia="Arial" w:hAnsi="Verdana"/>
          <w:b/>
        </w:rPr>
      </w:pPr>
    </w:p>
    <w:p w14:paraId="0A729C8E" w14:textId="77777777" w:rsidR="00756B45" w:rsidRDefault="00756B45">
      <w:pPr>
        <w:rPr>
          <w:rFonts w:ascii="Verdana" w:eastAsia="Arial" w:hAnsi="Verdana"/>
          <w:b/>
        </w:rPr>
      </w:pPr>
    </w:p>
    <w:p w14:paraId="69EC9AC5" w14:textId="77777777" w:rsidR="00756B45" w:rsidRDefault="00756B45">
      <w:pPr>
        <w:rPr>
          <w:rFonts w:ascii="Verdana" w:eastAsia="Arial" w:hAnsi="Verdana"/>
          <w:b/>
        </w:rPr>
      </w:pPr>
    </w:p>
    <w:p w14:paraId="34FA77B2" w14:textId="77777777" w:rsidR="00756B45" w:rsidRDefault="00756B45">
      <w:pPr>
        <w:rPr>
          <w:rFonts w:ascii="Verdana" w:eastAsia="Arial" w:hAnsi="Verdana"/>
          <w:b/>
        </w:rPr>
      </w:pPr>
    </w:p>
    <w:p w14:paraId="07CEB25F" w14:textId="77777777" w:rsidR="00756B45" w:rsidRDefault="00756B45">
      <w:pPr>
        <w:rPr>
          <w:rFonts w:ascii="Verdana" w:eastAsia="Arial" w:hAnsi="Verdana"/>
          <w:b/>
        </w:rPr>
      </w:pPr>
    </w:p>
    <w:p w14:paraId="1F9D9DA9" w14:textId="77777777" w:rsidR="00756B45" w:rsidRDefault="00756B45">
      <w:pPr>
        <w:rPr>
          <w:rFonts w:ascii="Verdana" w:eastAsia="Arial" w:hAnsi="Verdana"/>
          <w:b/>
        </w:rPr>
      </w:pPr>
    </w:p>
    <w:p w14:paraId="7CB62A3E" w14:textId="77777777" w:rsidR="00756B45" w:rsidRDefault="00000000">
      <w:pPr>
        <w:rPr>
          <w:rFonts w:ascii="Verdana" w:hAnsi="Verdana"/>
        </w:rPr>
      </w:pPr>
      <w:r>
        <w:rPr>
          <w:rFonts w:ascii="Verdana" w:eastAsia="Arial" w:hAnsi="Verdana"/>
          <w:b/>
        </w:rPr>
        <w:t>Autorizado por:</w:t>
      </w:r>
    </w:p>
    <w:p w14:paraId="737F8228" w14:textId="77777777" w:rsidR="00756B45" w:rsidRDefault="00756B45">
      <w:pPr>
        <w:jc w:val="both"/>
        <w:rPr>
          <w:rFonts w:ascii="Verdana" w:hAnsi="Verdana"/>
          <w:b/>
        </w:rPr>
      </w:pPr>
    </w:p>
    <w:p w14:paraId="7DB13FA0" w14:textId="77777777" w:rsidR="00756B45" w:rsidRDefault="00756B45">
      <w:pPr>
        <w:jc w:val="both"/>
        <w:rPr>
          <w:rFonts w:ascii="Verdana" w:hAnsi="Verdana"/>
          <w:b/>
        </w:rPr>
      </w:pPr>
    </w:p>
    <w:p w14:paraId="13E2CA26" w14:textId="77777777" w:rsidR="00756B45" w:rsidRDefault="00756B45">
      <w:pPr>
        <w:jc w:val="both"/>
        <w:rPr>
          <w:rFonts w:ascii="Verdana" w:hAnsi="Verdana"/>
          <w:b/>
        </w:rPr>
      </w:pPr>
    </w:p>
    <w:p w14:paraId="7E71D25E" w14:textId="77777777" w:rsidR="00756B45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</w:rPr>
        <w:t>JANE LISLIE MARTINELLI DOS SANTOS</w:t>
      </w:r>
    </w:p>
    <w:p w14:paraId="6FA053AF" w14:textId="77777777" w:rsidR="00756B45" w:rsidRDefault="00000000">
      <w:pPr>
        <w:rPr>
          <w:rFonts w:ascii="Verdana" w:hAnsi="Verdana"/>
        </w:rPr>
      </w:pPr>
      <w:r>
        <w:rPr>
          <w:rFonts w:ascii="Verdana" w:hAnsi="Verdana"/>
          <w:bCs/>
        </w:rPr>
        <w:lastRenderedPageBreak/>
        <w:t xml:space="preserve"> Secretária Municipal de Educação Interina</w:t>
      </w:r>
    </w:p>
    <w:p w14:paraId="74B7645F" w14:textId="77777777" w:rsidR="00756B45" w:rsidRDefault="00000000">
      <w:pPr>
        <w:rPr>
          <w:rFonts w:ascii="Verdana" w:hAnsi="Verdana"/>
        </w:rPr>
      </w:pPr>
      <w:r>
        <w:rPr>
          <w:rFonts w:ascii="Verdana" w:hAnsi="Verdana"/>
          <w:bCs/>
        </w:rPr>
        <w:t xml:space="preserve">                 Decreto nº 4675/2025</w:t>
      </w:r>
    </w:p>
    <w:sectPr w:rsidR="00756B45">
      <w:type w:val="continuous"/>
      <w:pgSz w:w="11906" w:h="16838"/>
      <w:pgMar w:top="1440" w:right="1080" w:bottom="1276" w:left="1080" w:header="708" w:footer="0" w:gutter="0"/>
      <w:cols w:num="2" w:space="708"/>
      <w:formProt w:val="0"/>
      <w:docGrid w:linePitch="360" w:charSpace="9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FDC08" w14:textId="77777777" w:rsidR="00701EE4" w:rsidRDefault="00701EE4">
      <w:r>
        <w:separator/>
      </w:r>
    </w:p>
  </w:endnote>
  <w:endnote w:type="continuationSeparator" w:id="0">
    <w:p w14:paraId="5D167134" w14:textId="77777777" w:rsidR="00701EE4" w:rsidRDefault="00701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B2FD4" w14:textId="77777777" w:rsidR="00756B45" w:rsidRDefault="00756B4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754B2" w14:textId="77777777" w:rsidR="00756B45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proofErr w:type="gramStart"/>
    <w:r>
      <w:rPr>
        <w:rStyle w:val="Nmerodepgina"/>
        <w:rFonts w:ascii="Tahoma" w:hAnsi="Tahoma" w:cs="Tahoma"/>
        <w:sz w:val="18"/>
        <w:szCs w:val="18"/>
      </w:rPr>
      <w:t>Praça</w:t>
    </w:r>
    <w:proofErr w:type="gramEnd"/>
    <w:r>
      <w:rPr>
        <w:rStyle w:val="Nmerodepgina"/>
        <w:rFonts w:ascii="Tahoma" w:hAnsi="Tahoma" w:cs="Tahoma"/>
        <w:sz w:val="18"/>
        <w:szCs w:val="18"/>
      </w:rPr>
      <w:t xml:space="preserve"> Vicente Glazar, 159 | São Gabriel da Palha-ES | CEP 29780 000</w:t>
    </w:r>
  </w:p>
  <w:p w14:paraId="7D393BA7" w14:textId="77777777" w:rsidR="00756B45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(27)99574-4758 | E-mail: financeirosemecsgp@gmail.com</w:t>
    </w:r>
  </w:p>
  <w:p w14:paraId="17B273C6" w14:textId="77777777" w:rsidR="00756B45" w:rsidRDefault="00756B4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93E50" w14:textId="77777777" w:rsidR="00756B45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proofErr w:type="gramStart"/>
    <w:r>
      <w:rPr>
        <w:rStyle w:val="Nmerodepgina"/>
        <w:rFonts w:ascii="Tahoma" w:hAnsi="Tahoma" w:cs="Tahoma"/>
        <w:sz w:val="18"/>
        <w:szCs w:val="18"/>
      </w:rPr>
      <w:t>Praça</w:t>
    </w:r>
    <w:proofErr w:type="gramEnd"/>
    <w:r>
      <w:rPr>
        <w:rStyle w:val="Nmerodepgina"/>
        <w:rFonts w:ascii="Tahoma" w:hAnsi="Tahoma" w:cs="Tahoma"/>
        <w:sz w:val="18"/>
        <w:szCs w:val="18"/>
      </w:rPr>
      <w:t xml:space="preserve"> Vicente Glazar, 159 | São Gabriel da Palha-ES | CEP 29780 000</w:t>
    </w:r>
  </w:p>
  <w:p w14:paraId="2D48637F" w14:textId="77777777" w:rsidR="00756B45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(27)99574-4758 | E-mail: financeirosemecsgp@gmail.com</w:t>
    </w:r>
  </w:p>
  <w:p w14:paraId="4D1DD035" w14:textId="77777777" w:rsidR="00756B45" w:rsidRDefault="00756B4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ABC9E" w14:textId="77777777" w:rsidR="00701EE4" w:rsidRDefault="00701EE4">
      <w:r>
        <w:separator/>
      </w:r>
    </w:p>
  </w:footnote>
  <w:footnote w:type="continuationSeparator" w:id="0">
    <w:p w14:paraId="65B82065" w14:textId="77777777" w:rsidR="00701EE4" w:rsidRDefault="00701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8D4D" w14:textId="77777777" w:rsidR="00756B45" w:rsidRDefault="00756B4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2E750" w14:textId="77777777" w:rsidR="00756B45" w:rsidRDefault="00000000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357320C3" wp14:editId="1CBC9AA1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Educação</w:t>
    </w:r>
  </w:p>
  <w:p w14:paraId="3800C7AC" w14:textId="77777777" w:rsidR="00756B45" w:rsidRDefault="00756B45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906E5" w14:textId="77777777" w:rsidR="00756B45" w:rsidRDefault="00000000">
    <w:pPr>
      <w:jc w:val="center"/>
    </w:pPr>
    <w:r>
      <w:rPr>
        <w:noProof/>
      </w:rPr>
      <w:drawing>
        <wp:anchor distT="0" distB="0" distL="152400" distR="120015" simplePos="0" relativeHeight="251658240" behindDoc="1" locked="0" layoutInCell="0" allowOverlap="1" wp14:anchorId="0A84D866" wp14:editId="256E8697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Educação</w:t>
    </w:r>
  </w:p>
  <w:p w14:paraId="657A652B" w14:textId="77777777" w:rsidR="00756B45" w:rsidRDefault="00756B45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0593"/>
    <w:multiLevelType w:val="multilevel"/>
    <w:tmpl w:val="0A3AD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7AA39FA"/>
    <w:multiLevelType w:val="multilevel"/>
    <w:tmpl w:val="F5C64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07F86E1D"/>
    <w:multiLevelType w:val="multilevel"/>
    <w:tmpl w:val="5358D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0F00213F"/>
    <w:multiLevelType w:val="multilevel"/>
    <w:tmpl w:val="287A1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1E3766FA"/>
    <w:multiLevelType w:val="multilevel"/>
    <w:tmpl w:val="8A2A1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1FAB0F88"/>
    <w:multiLevelType w:val="multilevel"/>
    <w:tmpl w:val="FD262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20633CCB"/>
    <w:multiLevelType w:val="multilevel"/>
    <w:tmpl w:val="08143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22444ECB"/>
    <w:multiLevelType w:val="multilevel"/>
    <w:tmpl w:val="E9E6B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262753D2"/>
    <w:multiLevelType w:val="multilevel"/>
    <w:tmpl w:val="E160E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30B67EA7"/>
    <w:multiLevelType w:val="multilevel"/>
    <w:tmpl w:val="1F1E1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E00AB7"/>
    <w:multiLevelType w:val="multilevel"/>
    <w:tmpl w:val="8A6A6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 w15:restartNumberingAfterBreak="0">
    <w:nsid w:val="3B65415E"/>
    <w:multiLevelType w:val="multilevel"/>
    <w:tmpl w:val="004EE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 w15:restartNumberingAfterBreak="0">
    <w:nsid w:val="46014B2F"/>
    <w:multiLevelType w:val="multilevel"/>
    <w:tmpl w:val="F87EBD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480A7237"/>
    <w:multiLevelType w:val="multilevel"/>
    <w:tmpl w:val="DB725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841B00"/>
    <w:multiLevelType w:val="multilevel"/>
    <w:tmpl w:val="05366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 w15:restartNumberingAfterBreak="0">
    <w:nsid w:val="4FB355B6"/>
    <w:multiLevelType w:val="multilevel"/>
    <w:tmpl w:val="FB220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6" w15:restartNumberingAfterBreak="0">
    <w:nsid w:val="530825F2"/>
    <w:multiLevelType w:val="multilevel"/>
    <w:tmpl w:val="F0102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7" w15:restartNumberingAfterBreak="0">
    <w:nsid w:val="585E44B0"/>
    <w:multiLevelType w:val="multilevel"/>
    <w:tmpl w:val="AEDCA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8" w15:restartNumberingAfterBreak="0">
    <w:nsid w:val="5AC049D3"/>
    <w:multiLevelType w:val="multilevel"/>
    <w:tmpl w:val="D30C3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9" w15:restartNumberingAfterBreak="0">
    <w:nsid w:val="644E402E"/>
    <w:multiLevelType w:val="multilevel"/>
    <w:tmpl w:val="A8DA4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5D1393"/>
    <w:multiLevelType w:val="multilevel"/>
    <w:tmpl w:val="494C7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1" w15:restartNumberingAfterBreak="0">
    <w:nsid w:val="64D33378"/>
    <w:multiLevelType w:val="multilevel"/>
    <w:tmpl w:val="5EE4A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2" w15:restartNumberingAfterBreak="0">
    <w:nsid w:val="678B1022"/>
    <w:multiLevelType w:val="multilevel"/>
    <w:tmpl w:val="2AC2A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3" w15:restartNumberingAfterBreak="0">
    <w:nsid w:val="6DFA6D05"/>
    <w:multiLevelType w:val="multilevel"/>
    <w:tmpl w:val="6FF6A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4" w15:restartNumberingAfterBreak="0">
    <w:nsid w:val="71AC2E63"/>
    <w:multiLevelType w:val="multilevel"/>
    <w:tmpl w:val="F0661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5" w15:restartNumberingAfterBreak="0">
    <w:nsid w:val="74B63E79"/>
    <w:multiLevelType w:val="multilevel"/>
    <w:tmpl w:val="DC24E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1049919432">
    <w:abstractNumId w:val="24"/>
  </w:num>
  <w:num w:numId="2" w16cid:durableId="1873685015">
    <w:abstractNumId w:val="15"/>
  </w:num>
  <w:num w:numId="3" w16cid:durableId="915942175">
    <w:abstractNumId w:val="7"/>
  </w:num>
  <w:num w:numId="4" w16cid:durableId="1201749590">
    <w:abstractNumId w:val="4"/>
  </w:num>
  <w:num w:numId="5" w16cid:durableId="855652826">
    <w:abstractNumId w:val="8"/>
  </w:num>
  <w:num w:numId="6" w16cid:durableId="1724711861">
    <w:abstractNumId w:val="5"/>
  </w:num>
  <w:num w:numId="7" w16cid:durableId="1797064764">
    <w:abstractNumId w:val="6"/>
  </w:num>
  <w:num w:numId="8" w16cid:durableId="936406057">
    <w:abstractNumId w:val="16"/>
  </w:num>
  <w:num w:numId="9" w16cid:durableId="660351091">
    <w:abstractNumId w:val="20"/>
  </w:num>
  <w:num w:numId="10" w16cid:durableId="986934392">
    <w:abstractNumId w:val="0"/>
  </w:num>
  <w:num w:numId="11" w16cid:durableId="377125154">
    <w:abstractNumId w:val="18"/>
  </w:num>
  <w:num w:numId="12" w16cid:durableId="1053308248">
    <w:abstractNumId w:val="22"/>
  </w:num>
  <w:num w:numId="13" w16cid:durableId="635649082">
    <w:abstractNumId w:val="9"/>
  </w:num>
  <w:num w:numId="14" w16cid:durableId="1358234708">
    <w:abstractNumId w:val="17"/>
  </w:num>
  <w:num w:numId="15" w16cid:durableId="2101834590">
    <w:abstractNumId w:val="19"/>
  </w:num>
  <w:num w:numId="16" w16cid:durableId="1345744164">
    <w:abstractNumId w:val="1"/>
  </w:num>
  <w:num w:numId="17" w16cid:durableId="449667135">
    <w:abstractNumId w:val="10"/>
  </w:num>
  <w:num w:numId="18" w16cid:durableId="2027518212">
    <w:abstractNumId w:val="23"/>
  </w:num>
  <w:num w:numId="19" w16cid:durableId="2084061463">
    <w:abstractNumId w:val="3"/>
  </w:num>
  <w:num w:numId="20" w16cid:durableId="1707020253">
    <w:abstractNumId w:val="25"/>
  </w:num>
  <w:num w:numId="21" w16cid:durableId="1902906142">
    <w:abstractNumId w:val="14"/>
  </w:num>
  <w:num w:numId="22" w16cid:durableId="708601763">
    <w:abstractNumId w:val="2"/>
  </w:num>
  <w:num w:numId="23" w16cid:durableId="492571986">
    <w:abstractNumId w:val="11"/>
  </w:num>
  <w:num w:numId="24" w16cid:durableId="234126351">
    <w:abstractNumId w:val="21"/>
  </w:num>
  <w:num w:numId="25" w16cid:durableId="2044208992">
    <w:abstractNumId w:val="13"/>
  </w:num>
  <w:num w:numId="26" w16cid:durableId="1282558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B45"/>
    <w:rsid w:val="005B1F90"/>
    <w:rsid w:val="00701EE4"/>
    <w:rsid w:val="00756B45"/>
    <w:rsid w:val="00DA2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8234E"/>
  <w15:docId w15:val="{DBAC72D5-CB3C-4C5D-A291-35E0EAFD0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link w:val="Ttulo1Char"/>
    <w:qFormat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1"/>
    <w:qFormat/>
  </w:style>
  <w:style w:type="character" w:customStyle="1" w:styleId="Fontepargpadro1">
    <w:name w:val="Fonte parág. padrão1"/>
    <w:qFormat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Hyperlink">
    <w:name w:val="Hyperlink"/>
    <w:rsid w:val="00111AD8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Pr>
      <w:lang w:eastAsia="zh-CN"/>
    </w:rPr>
  </w:style>
  <w:style w:type="character" w:customStyle="1" w:styleId="CabealhoChar1">
    <w:name w:val="Cabeçalho Char1"/>
    <w:link w:val="Cabealho"/>
    <w:qFormat/>
    <w:rPr>
      <w:sz w:val="24"/>
      <w:lang w:eastAsia="zh-CN"/>
    </w:rPr>
  </w:style>
  <w:style w:type="character" w:customStyle="1" w:styleId="RodapChar1">
    <w:name w:val="Rodapé Char1"/>
    <w:link w:val="Rodap"/>
    <w:qFormat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Pr>
      <w:lang w:eastAsia="zh-CN"/>
    </w:rPr>
  </w:style>
  <w:style w:type="character" w:customStyle="1" w:styleId="TtuloChar1">
    <w:name w:val="Título Char1"/>
    <w:link w:val="Ttulo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Pr>
      <w:vertAlign w:val="superscript"/>
    </w:rPr>
  </w:style>
  <w:style w:type="character" w:styleId="Forte">
    <w:name w:val="Strong"/>
    <w:basedOn w:val="Fontepargpadro"/>
    <w:uiPriority w:val="22"/>
    <w:qFormat/>
    <w:rsid w:val="003A19B0"/>
    <w:rPr>
      <w:b/>
      <w:bCs/>
    </w:rPr>
  </w:style>
  <w:style w:type="character" w:customStyle="1" w:styleId="math-inline">
    <w:name w:val="math-inline"/>
    <w:basedOn w:val="Fontepargpadro"/>
    <w:qFormat/>
    <w:rsid w:val="00CA36B5"/>
  </w:style>
  <w:style w:type="character" w:customStyle="1" w:styleId="whitespace-normal">
    <w:name w:val="whitespace-normal"/>
    <w:basedOn w:val="Fontepargpadro"/>
    <w:qFormat/>
    <w:rsid w:val="00F70B10"/>
  </w:style>
  <w:style w:type="paragraph" w:styleId="Ttulo">
    <w:name w:val="Title"/>
    <w:basedOn w:val="Normal"/>
    <w:next w:val="Corpodetexto"/>
    <w:link w:val="TtuloChar1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qFormat/>
    <w:pPr>
      <w:spacing w:after="120"/>
    </w:pPr>
  </w:style>
  <w:style w:type="paragraph" w:styleId="Lista">
    <w:name w:val="List"/>
    <w:basedOn w:val="Corpodetexto"/>
    <w:qFormat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qFormat/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styleId="NormalWeb">
    <w:name w:val="Normal (Web)"/>
    <w:basedOn w:val="Normal"/>
    <w:uiPriority w:val="99"/>
    <w:unhideWhenUsed/>
    <w:qFormat/>
    <w:rsid w:val="003A19B0"/>
    <w:pPr>
      <w:suppressAutoHyphens w:val="0"/>
      <w:spacing w:beforeAutospacing="1" w:afterAutospacing="1"/>
    </w:pPr>
    <w:rPr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EE5BCF"/>
    <w:pPr>
      <w:widowControl w:val="0"/>
      <w:suppressAutoHyphens w:val="0"/>
      <w:spacing w:line="229" w:lineRule="exact"/>
      <w:ind w:left="10"/>
      <w:jc w:val="center"/>
    </w:pPr>
    <w:rPr>
      <w:rFonts w:ascii="Arial MT" w:eastAsia="Arial MT" w:hAnsi="Arial MT" w:cs="Arial MT"/>
      <w:sz w:val="22"/>
      <w:szCs w:val="22"/>
      <w:lang w:val="pt-PT" w:eastAsia="en-US"/>
    </w:rPr>
  </w:style>
  <w:style w:type="table" w:styleId="Tabelacomgrade">
    <w:name w:val="Table Grid"/>
    <w:basedOn w:val="Tabelanormal"/>
    <w:uiPriority w:val="39"/>
    <w:rsid w:val="00365279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E5BCF"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mnoroeste.es.gov.br/wp-content/uploads/2025/01/ARP-No-001-2025-DEDETIZADORA-CASA-LIMPAassinado.pdf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buscarlicitacao.com.br/licitacao/es/vila-velha/10838653000106-1-000800/2025/aviso-de-contratacao-direta-no-52-2025?utm_source=chatgp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ncp.gov.br/app/editais/31729742000186/2025/2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39A3E-1ABC-4671-9EED-069DE511B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2887</TotalTime>
  <Pages>17</Pages>
  <Words>7651</Words>
  <Characters>41317</Characters>
  <Application>Microsoft Office Word</Application>
  <DocSecurity>0</DocSecurity>
  <Lines>344</Lines>
  <Paragraphs>97</Paragraphs>
  <ScaleCrop>false</ScaleCrop>
  <Company/>
  <LinksUpToDate>false</LinksUpToDate>
  <CharactersWithSpaces>48871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65</cp:revision>
  <cp:lastPrinted>2026-07-21T16:46:00Z</cp:lastPrinted>
  <dcterms:created xsi:type="dcterms:W3CDTF">2026-01-09T11:52:00Z</dcterms:created>
  <dcterms:modified xsi:type="dcterms:W3CDTF">2026-08-14T12:11:00Z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F629F94EE44B4ECA9CD5E24E14967EBC_12</vt:lpwstr>
  </property>
  <property fmtid="{D5CDD505-2E9C-101B-9397-08002B2CF9AE}" pid="4" name="KSOProductBuildVer">
    <vt:lpwstr>1046-12.2.0.13431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